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3148" w:rsidR="00BD3CEE" w:rsidP="00BD3CEE" w:rsidRDefault="00BD3CEE" w14:paraId="3447A828" w14:textId="4511DF4E">
      <w:pPr>
        <w:pStyle w:val="3Policytitle"/>
        <w:jc w:val="center"/>
        <w:rPr>
          <w:rFonts w:asciiTheme="minorHAnsi" w:hAnsiTheme="minorHAnsi" w:cstheme="minorHAnsi"/>
        </w:rPr>
      </w:pPr>
      <w:r w:rsidRPr="00993148">
        <w:rPr>
          <w:rFonts w:asciiTheme="minorHAnsi" w:hAnsiTheme="minorHAnsi" w:cstheme="minorHAnsi"/>
          <w:sz w:val="28"/>
          <w:szCs w:val="28"/>
        </w:rPr>
        <w:t>SEND Policy</w:t>
      </w:r>
    </w:p>
    <w:p w:rsidRPr="00993148" w:rsidR="00BD3CEE" w:rsidP="00BD3CEE" w:rsidRDefault="00BD3CEE" w14:paraId="3C0AD7AE" w14:textId="77777777">
      <w:pPr>
        <w:spacing w:after="0"/>
        <w:ind w:right="-472"/>
        <w:rPr>
          <w:rFonts w:asciiTheme="minorHAnsi" w:hAnsiTheme="minorHAnsi" w:cstheme="minorHAnsi"/>
        </w:rPr>
      </w:pPr>
      <w:r w:rsidRPr="00993148">
        <w:rPr>
          <w:rFonts w:eastAsia="Calibri" w:asciiTheme="minorHAnsi" w:hAnsiTheme="minorHAnsi" w:cstheme="minorHAnsi"/>
        </w:rPr>
        <w:t xml:space="preserve">This policy is prescribed by The Good Shepherd Trust and is statutory. All </w:t>
      </w:r>
      <w:r w:rsidRPr="00993148">
        <w:rPr>
          <w:rFonts w:asciiTheme="minorHAnsi" w:hAnsiTheme="minorHAnsi" w:cstheme="minorHAnsi"/>
        </w:rPr>
        <w:t xml:space="preserve">references to ‘the trust’, includes all trust schools and subsidiary organisations.  </w:t>
      </w:r>
    </w:p>
    <w:p w:rsidRPr="00993148" w:rsidR="00BD3CEE" w:rsidP="00BD3CEE" w:rsidRDefault="00BD3CEE" w14:paraId="0700FD30" w14:textId="77777777">
      <w:pPr>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24"/>
          <w:lang w:eastAsia="en-GB"/>
        </w:rPr>
        <w:t> </w:t>
      </w:r>
    </w:p>
    <w:tbl>
      <w:tblPr>
        <w:tblW w:w="0" w:type="dxa"/>
        <w:tblCellMar>
          <w:left w:w="0" w:type="dxa"/>
          <w:right w:w="0" w:type="dxa"/>
        </w:tblCellMar>
        <w:tblLook w:val="04A0" w:firstRow="1" w:lastRow="0" w:firstColumn="1" w:lastColumn="0" w:noHBand="0" w:noVBand="1"/>
      </w:tblPr>
      <w:tblGrid>
        <w:gridCol w:w="1598"/>
        <w:gridCol w:w="2482"/>
        <w:gridCol w:w="242"/>
        <w:gridCol w:w="2353"/>
        <w:gridCol w:w="2351"/>
      </w:tblGrid>
      <w:tr w:rsidRPr="00993148" w:rsidR="00BD3CEE" w:rsidTr="68F902AF" w14:paraId="05778B1F" w14:textId="77777777">
        <w:tc>
          <w:tcPr>
            <w:tcW w:w="1695" w:type="dxa"/>
            <w:tcMar/>
            <w:hideMark/>
          </w:tcPr>
          <w:p w:rsidRPr="00993148" w:rsidR="00BD3CEE" w:rsidP="000A6280" w:rsidRDefault="00BD3CEE" w14:paraId="4BFDDF25" w14:textId="77777777">
            <w:pPr>
              <w:spacing w:after="0"/>
              <w:jc w:val="right"/>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Date adopted: </w:t>
            </w:r>
          </w:p>
        </w:tc>
        <w:tc>
          <w:tcPr>
            <w:tcW w:w="2685" w:type="dxa"/>
            <w:tcMar/>
            <w:hideMark/>
          </w:tcPr>
          <w:p w:rsidRPr="00993148" w:rsidR="00BD3CEE" w:rsidP="000A6280" w:rsidRDefault="00BD3CEE" w14:paraId="65667DEF" w14:textId="45AAF1DC">
            <w:pPr>
              <w:spacing w:after="0"/>
              <w:textAlignment w:val="baseline"/>
              <w:rPr>
                <w:rFonts w:eastAsia="Times New Roman" w:asciiTheme="minorHAnsi" w:hAnsiTheme="minorHAnsi" w:cstheme="minorHAnsi"/>
                <w:lang w:eastAsia="en-GB"/>
              </w:rPr>
            </w:pPr>
            <w:r w:rsidRPr="001B63BD">
              <w:rPr>
                <w:rFonts w:eastAsia="Times New Roman" w:asciiTheme="minorHAnsi" w:hAnsiTheme="minorHAnsi" w:cstheme="minorHAnsi"/>
                <w:lang w:eastAsia="en-GB"/>
              </w:rPr>
              <w:t>0</w:t>
            </w:r>
            <w:r w:rsidRPr="001B63BD" w:rsidR="001B63BD">
              <w:rPr>
                <w:rFonts w:eastAsia="Times New Roman" w:asciiTheme="minorHAnsi" w:hAnsiTheme="minorHAnsi" w:cstheme="minorHAnsi"/>
                <w:lang w:eastAsia="en-GB"/>
              </w:rPr>
              <w:t>9</w:t>
            </w:r>
            <w:r w:rsidRPr="001B63BD">
              <w:rPr>
                <w:rFonts w:eastAsia="Times New Roman" w:asciiTheme="minorHAnsi" w:hAnsiTheme="minorHAnsi" w:cstheme="minorHAnsi"/>
                <w:lang w:eastAsia="en-GB"/>
              </w:rPr>
              <w:t>/09/2026</w:t>
            </w:r>
          </w:p>
        </w:tc>
        <w:tc>
          <w:tcPr>
            <w:tcW w:w="270" w:type="dxa"/>
            <w:tcMar/>
            <w:hideMark/>
          </w:tcPr>
          <w:p w:rsidRPr="00993148" w:rsidR="00BD3CEE" w:rsidP="000A6280" w:rsidRDefault="00BD3CEE" w14:paraId="27FA1E74"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tcMar/>
            <w:hideMark/>
          </w:tcPr>
          <w:p w:rsidRPr="00993148" w:rsidR="00BD3CEE" w:rsidP="000A6280" w:rsidRDefault="00BD3CEE" w14:paraId="416F1FC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Last reviewed: </w:t>
            </w:r>
          </w:p>
        </w:tc>
        <w:tc>
          <w:tcPr>
            <w:tcW w:w="2400" w:type="dxa"/>
            <w:tcMar/>
            <w:hideMark/>
          </w:tcPr>
          <w:p w:rsidRPr="00993148" w:rsidR="00BD3CEE" w:rsidP="000A6280" w:rsidRDefault="00BD3CEE" w14:paraId="5F240F9B" w14:textId="0068F474">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0</w:t>
            </w:r>
            <w:r w:rsidR="001B63BD">
              <w:rPr>
                <w:rFonts w:eastAsia="Times New Roman" w:asciiTheme="minorHAnsi" w:hAnsiTheme="minorHAnsi" w:cstheme="minorHAnsi"/>
                <w:lang w:eastAsia="en-GB"/>
              </w:rPr>
              <w:t>9</w:t>
            </w:r>
            <w:r w:rsidRPr="00993148">
              <w:rPr>
                <w:rFonts w:eastAsia="Times New Roman" w:asciiTheme="minorHAnsi" w:hAnsiTheme="minorHAnsi" w:cstheme="minorHAnsi"/>
                <w:lang w:eastAsia="en-GB"/>
              </w:rPr>
              <w:t>/09/2026</w:t>
            </w:r>
          </w:p>
        </w:tc>
      </w:tr>
      <w:tr w:rsidRPr="00993148" w:rsidR="00BD3CEE" w:rsidTr="68F902AF" w14:paraId="4C57E324" w14:textId="77777777">
        <w:tc>
          <w:tcPr>
            <w:tcW w:w="1695" w:type="dxa"/>
            <w:tcMar/>
            <w:hideMark/>
          </w:tcPr>
          <w:p w:rsidRPr="00993148" w:rsidR="00BD3CEE" w:rsidP="000A6280" w:rsidRDefault="00BD3CEE" w14:paraId="5620E79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Review cycle: </w:t>
            </w:r>
          </w:p>
        </w:tc>
        <w:tc>
          <w:tcPr>
            <w:tcW w:w="2685" w:type="dxa"/>
            <w:tcMar/>
            <w:hideMark/>
          </w:tcPr>
          <w:p w:rsidRPr="00993148" w:rsidR="00BD3CEE" w:rsidP="000A6280" w:rsidRDefault="00BD3CEE" w14:paraId="4762A3EA" w14:textId="10BF5EAE">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xml:space="preserve">Every </w:t>
            </w:r>
            <w:r w:rsidRPr="00993148" w:rsidR="00405BA5">
              <w:rPr>
                <w:rFonts w:eastAsia="Times New Roman" w:asciiTheme="minorHAnsi" w:hAnsiTheme="minorHAnsi" w:cstheme="minorHAnsi"/>
                <w:lang w:eastAsia="en-GB"/>
              </w:rPr>
              <w:t>1</w:t>
            </w:r>
            <w:r w:rsidRPr="00993148">
              <w:rPr>
                <w:rFonts w:eastAsia="Times New Roman" w:asciiTheme="minorHAnsi" w:hAnsiTheme="minorHAnsi" w:cstheme="minorHAnsi"/>
                <w:lang w:eastAsia="en-GB"/>
              </w:rPr>
              <w:t xml:space="preserve"> year</w:t>
            </w:r>
          </w:p>
        </w:tc>
        <w:tc>
          <w:tcPr>
            <w:tcW w:w="270" w:type="dxa"/>
            <w:tcMar/>
            <w:hideMark/>
          </w:tcPr>
          <w:p w:rsidRPr="00993148" w:rsidR="00BD3CEE" w:rsidP="000A6280" w:rsidRDefault="00BD3CEE" w14:paraId="2E372A17"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tcMar/>
            <w:hideMark/>
          </w:tcPr>
          <w:p w:rsidRPr="00993148" w:rsidR="00BD3CEE" w:rsidP="000A6280" w:rsidRDefault="00BD3CEE" w14:paraId="15568548" w14:textId="77777777">
            <w:pPr>
              <w:spacing w:after="0"/>
              <w:jc w:val="right"/>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Is this policy statutory? </w:t>
            </w:r>
          </w:p>
        </w:tc>
        <w:tc>
          <w:tcPr>
            <w:tcW w:w="2400" w:type="dxa"/>
            <w:tcMar/>
            <w:hideMark/>
          </w:tcPr>
          <w:p w:rsidRPr="00993148" w:rsidR="00BD3CEE" w:rsidP="000A6280" w:rsidRDefault="00BD3CEE" w14:paraId="3343D53A"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Yes</w:t>
            </w:r>
          </w:p>
        </w:tc>
      </w:tr>
      <w:tr w:rsidRPr="00993148" w:rsidR="00BD3CEE" w:rsidTr="68F902AF" w14:paraId="0BA78FEE" w14:textId="77777777">
        <w:tc>
          <w:tcPr>
            <w:tcW w:w="1695" w:type="dxa"/>
            <w:tcMar/>
            <w:hideMark/>
          </w:tcPr>
          <w:p w:rsidRPr="00993148" w:rsidR="00BD3CEE" w:rsidP="000A6280" w:rsidRDefault="00BD3CEE" w14:paraId="62B1CA72"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Approval: </w:t>
            </w:r>
          </w:p>
        </w:tc>
        <w:tc>
          <w:tcPr>
            <w:tcW w:w="2685" w:type="dxa"/>
            <w:tcMar/>
            <w:hideMark/>
          </w:tcPr>
          <w:p w:rsidRPr="00993148" w:rsidR="00BD3CEE" w:rsidP="000A6280" w:rsidRDefault="00405BA5" w14:paraId="59B0669B" w14:textId="6FD98DC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Full Board</w:t>
            </w:r>
          </w:p>
        </w:tc>
        <w:tc>
          <w:tcPr>
            <w:tcW w:w="270" w:type="dxa"/>
            <w:tcMar/>
            <w:hideMark/>
          </w:tcPr>
          <w:p w:rsidRPr="00993148" w:rsidR="00BD3CEE" w:rsidP="000A6280" w:rsidRDefault="00BD3CEE" w14:paraId="5F5D376D"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tcMar/>
            <w:hideMark/>
          </w:tcPr>
          <w:p w:rsidRPr="00993148" w:rsidR="00BD3CEE" w:rsidP="000A6280" w:rsidRDefault="00BD3CEE" w14:paraId="162438C0"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Author: </w:t>
            </w:r>
          </w:p>
        </w:tc>
        <w:tc>
          <w:tcPr>
            <w:tcW w:w="2400" w:type="dxa"/>
            <w:tcMar/>
            <w:hideMark/>
          </w:tcPr>
          <w:p w:rsidRPr="00993148" w:rsidR="00BD3CEE" w:rsidP="000A6280" w:rsidRDefault="00BD3CEE" w14:paraId="06A1E3A9"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Head of Safeguarding</w:t>
            </w:r>
          </w:p>
        </w:tc>
      </w:tr>
      <w:tr w:rsidRPr="00993148" w:rsidR="00BD3CEE" w:rsidTr="68F902AF" w14:paraId="5CD7683F" w14:textId="77777777">
        <w:tc>
          <w:tcPr>
            <w:tcW w:w="1695" w:type="dxa"/>
            <w:tcMar/>
            <w:hideMark/>
          </w:tcPr>
          <w:p w:rsidRPr="00993148" w:rsidR="00BD3CEE" w:rsidP="000A6280" w:rsidRDefault="00BD3CEE" w14:paraId="36496684"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noting: </w:t>
            </w:r>
          </w:p>
        </w:tc>
        <w:tc>
          <w:tcPr>
            <w:tcW w:w="2685" w:type="dxa"/>
            <w:tcMar/>
            <w:hideMark/>
          </w:tcPr>
          <w:p w:rsidRPr="00993148" w:rsidR="00BD3CEE" w:rsidP="000A6280" w:rsidRDefault="00BD3CEE" w14:paraId="38EEB39D"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Committee</w:t>
            </w:r>
          </w:p>
        </w:tc>
        <w:tc>
          <w:tcPr>
            <w:tcW w:w="270" w:type="dxa"/>
            <w:tcMar/>
            <w:hideMark/>
          </w:tcPr>
          <w:p w:rsidRPr="00993148" w:rsidR="00BD3CEE" w:rsidP="000A6280" w:rsidRDefault="00BD3CEE" w14:paraId="386D69D3"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tcMar/>
            <w:hideMark/>
          </w:tcPr>
          <w:p w:rsidRPr="00993148" w:rsidR="00BD3CEE" w:rsidP="000A6280" w:rsidRDefault="00BD3CEE" w14:paraId="58818AA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author: </w:t>
            </w:r>
          </w:p>
        </w:tc>
        <w:tc>
          <w:tcPr>
            <w:tcW w:w="2400" w:type="dxa"/>
            <w:tcMar/>
            <w:hideMark/>
          </w:tcPr>
          <w:p w:rsidRPr="00993148" w:rsidR="00BD3CEE" w:rsidP="68F902AF" w:rsidRDefault="00BD3CEE" w14:paraId="7CB23CE7" w14:textId="231BDF42">
            <w:pPr>
              <w:spacing w:after="0"/>
              <w:textAlignment w:val="baseline"/>
              <w:rPr>
                <w:rFonts w:ascii="Calibri" w:hAnsi="Calibri" w:eastAsia="Times New Roman" w:cs="Calibri" w:asciiTheme="minorAscii" w:hAnsiTheme="minorAscii" w:cstheme="minorAscii"/>
                <w:sz w:val="24"/>
                <w:szCs w:val="24"/>
                <w:lang w:eastAsia="en-GB"/>
              </w:rPr>
            </w:pPr>
            <w:r w:rsidRPr="68F902AF" w:rsidR="00BD3CEE">
              <w:rPr>
                <w:rFonts w:ascii="Calibri" w:hAnsi="Calibri" w:eastAsia="Times New Roman" w:cs="Calibri" w:asciiTheme="minorAscii" w:hAnsiTheme="minorAscii" w:cstheme="minorAscii"/>
                <w:lang w:eastAsia="en-GB"/>
              </w:rPr>
              <w:t>Headteacher</w:t>
            </w:r>
          </w:p>
        </w:tc>
      </w:tr>
      <w:tr w:rsidRPr="00993148" w:rsidR="00BD3CEE" w:rsidTr="68F902AF" w14:paraId="24F6573A" w14:textId="77777777">
        <w:tc>
          <w:tcPr>
            <w:tcW w:w="1695" w:type="dxa"/>
            <w:tcMar/>
            <w:hideMark/>
          </w:tcPr>
          <w:p w:rsidRPr="00993148" w:rsidR="00BD3CEE" w:rsidP="68F902AF" w:rsidRDefault="00BD3CEE" w14:paraId="4EC71C51" w14:textId="25415D3F">
            <w:pPr>
              <w:spacing w:after="0"/>
              <w:jc w:val="right"/>
              <w:textAlignment w:val="baseline"/>
              <w:rPr>
                <w:rFonts w:ascii="Calibri" w:hAnsi="Calibri" w:eastAsia="Times New Roman" w:cs="Calibri" w:asciiTheme="minorAscii" w:hAnsiTheme="minorAscii" w:cstheme="minorAscii"/>
                <w:sz w:val="24"/>
                <w:szCs w:val="24"/>
                <w:lang w:eastAsia="en-GB"/>
              </w:rPr>
            </w:pPr>
            <w:r w:rsidRPr="68F902AF" w:rsidR="00BD3CEE">
              <w:rPr>
                <w:rFonts w:ascii="Calibri" w:hAnsi="Calibri" w:eastAsia="Times New Roman" w:cs="Calibri" w:asciiTheme="minorAscii" w:hAnsiTheme="minorAscii" w:cstheme="minorAscii"/>
                <w:lang w:eastAsia="en-GB"/>
              </w:rPr>
              <w:t>Next review Date</w:t>
            </w:r>
            <w:r w:rsidRPr="68F902AF" w:rsidR="6CCC0553">
              <w:rPr>
                <w:rFonts w:ascii="Calibri" w:hAnsi="Calibri" w:eastAsia="Times New Roman" w:cs="Calibri" w:asciiTheme="minorAscii" w:hAnsiTheme="minorAscii" w:cstheme="minorAscii"/>
                <w:lang w:eastAsia="en-GB"/>
              </w:rPr>
              <w:t>:</w:t>
            </w:r>
            <w:r w:rsidRPr="68F902AF" w:rsidR="00BD3CEE">
              <w:rPr>
                <w:rFonts w:ascii="Calibri" w:hAnsi="Calibri" w:eastAsia="Times New Roman" w:cs="Calibri" w:asciiTheme="minorAscii" w:hAnsiTheme="minorAscii" w:cstheme="minorAscii"/>
                <w:lang w:eastAsia="en-GB"/>
              </w:rPr>
              <w:t> </w:t>
            </w:r>
          </w:p>
        </w:tc>
        <w:tc>
          <w:tcPr>
            <w:tcW w:w="2685" w:type="dxa"/>
            <w:tcMar/>
            <w:hideMark/>
          </w:tcPr>
          <w:p w:rsidRPr="00993148" w:rsidR="00BD3CEE" w:rsidP="000A6280" w:rsidRDefault="00BD3CEE" w14:paraId="47962AB0"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September 2027</w:t>
            </w:r>
          </w:p>
        </w:tc>
        <w:tc>
          <w:tcPr>
            <w:tcW w:w="270" w:type="dxa"/>
            <w:tcMar/>
            <w:hideMark/>
          </w:tcPr>
          <w:p w:rsidRPr="00993148" w:rsidR="00BD3CEE" w:rsidP="000A6280" w:rsidRDefault="00BD3CEE" w14:paraId="66F084EA"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tcMar/>
            <w:hideMark/>
          </w:tcPr>
          <w:p w:rsidRPr="00993148" w:rsidR="00BD3CEE" w:rsidP="000A6280" w:rsidRDefault="00BD3CEE" w14:paraId="34280330"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400" w:type="dxa"/>
            <w:tcMar/>
            <w:hideMark/>
          </w:tcPr>
          <w:p w:rsidRPr="00993148" w:rsidR="00BD3CEE" w:rsidP="000A6280" w:rsidRDefault="00BD3CEE" w14:paraId="7E0F1DC7"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r>
    </w:tbl>
    <w:p w:rsidRPr="00993148" w:rsidR="00BD3CEE" w:rsidP="00BD3CEE" w:rsidRDefault="00BD3CEE" w14:paraId="197D1055" w14:textId="77777777">
      <w:pPr>
        <w:textAlignment w:val="baseline"/>
        <w:rPr>
          <w:rFonts w:eastAsia="Times New Roman" w:asciiTheme="minorHAnsi" w:hAnsiTheme="minorHAnsi" w:cstheme="minorHAnsi"/>
          <w:sz w:val="18"/>
          <w:szCs w:val="18"/>
          <w:lang w:eastAsia="en-GB"/>
        </w:rPr>
      </w:pPr>
    </w:p>
    <w:p w:rsidRPr="00993148" w:rsidR="00BD3CEE" w:rsidP="00BD3CEE" w:rsidRDefault="00BD3CEE" w14:paraId="6DE8528F"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b/>
          <w:bCs/>
          <w:sz w:val="20"/>
          <w:szCs w:val="20"/>
          <w:lang w:eastAsia="en-GB"/>
        </w:rPr>
        <w:t>Revision record</w:t>
      </w:r>
      <w:r w:rsidRPr="00993148">
        <w:rPr>
          <w:rFonts w:eastAsia="Times New Roman" w:asciiTheme="minorHAnsi" w:hAnsiTheme="minorHAnsi" w:cstheme="minorHAnsi"/>
          <w:sz w:val="20"/>
          <w:szCs w:val="20"/>
          <w:lang w:eastAsia="en-GB"/>
        </w:rPr>
        <w:t> </w:t>
      </w:r>
    </w:p>
    <w:p w:rsidRPr="00993148" w:rsidR="00BD3CEE" w:rsidP="00BD3CEE" w:rsidRDefault="00BD3CEE" w14:paraId="04B4354F"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964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1"/>
        <w:gridCol w:w="981"/>
        <w:gridCol w:w="1253"/>
        <w:gridCol w:w="1176"/>
        <w:gridCol w:w="5496"/>
      </w:tblGrid>
      <w:tr w:rsidRPr="00993148" w:rsidR="00BD3CEE" w:rsidTr="000A6280" w14:paraId="66400513"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106DC6D5"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Revision No. </w:t>
            </w:r>
          </w:p>
        </w:tc>
        <w:tc>
          <w:tcPr>
            <w:tcW w:w="98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5E719685"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Date </w:t>
            </w:r>
          </w:p>
        </w:tc>
        <w:tc>
          <w:tcPr>
            <w:tcW w:w="1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46A84E8C"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Revised by </w:t>
            </w:r>
          </w:p>
        </w:tc>
        <w:tc>
          <w:tcPr>
            <w:tcW w:w="1176"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41DA2FB8"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Approved date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A657E08"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52A0F117"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034DE6B0"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Comments </w:t>
            </w:r>
          </w:p>
          <w:p w:rsidRPr="00993148" w:rsidR="00BD3CEE" w:rsidP="000A6280" w:rsidRDefault="00BD3CEE" w14:paraId="5E978D8E"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771E7373"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tc>
      </w:tr>
      <w:tr w:rsidRPr="00993148" w:rsidR="00BD3CEE" w:rsidTr="00126814" w14:paraId="79918A0F"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410FA54F"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1 </w:t>
            </w:r>
          </w:p>
        </w:tc>
        <w:tc>
          <w:tcPr>
            <w:tcW w:w="981"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1045A7C3" w14:textId="0BF02F08">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06/09/2026</w:t>
            </w:r>
          </w:p>
        </w:tc>
        <w:tc>
          <w:tcPr>
            <w:tcW w:w="1253"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5B419212" w14:textId="417369D0">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L Tedbury</w:t>
            </w:r>
          </w:p>
        </w:tc>
        <w:tc>
          <w:tcPr>
            <w:tcW w:w="1176"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BD3CEE" w14:paraId="7D8D9926" w14:textId="6E560DC7">
            <w:pPr>
              <w:spacing w:after="120"/>
              <w:textAlignment w:val="baseline"/>
              <w:rPr>
                <w:rFonts w:eastAsia="Times New Roman" w:asciiTheme="minorHAnsi" w:hAnsiTheme="minorHAnsi" w:cstheme="minorHAnsi"/>
                <w:sz w:val="20"/>
                <w:szCs w:val="20"/>
                <w:lang w:eastAsia="en-GB"/>
              </w:rPr>
            </w:pPr>
          </w:p>
        </w:tc>
        <w:tc>
          <w:tcPr>
            <w:tcW w:w="5496"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3C393420" w14:textId="51461741">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New standard trust-wide policy</w:t>
            </w:r>
          </w:p>
        </w:tc>
      </w:tr>
      <w:tr w:rsidRPr="00993148" w:rsidR="00BD3CEE" w:rsidTr="000A6280" w14:paraId="6F74D4D6"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5F6A6ADE"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092A596"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4E72449"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267F896"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39B853D5"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r w:rsidRPr="00993148" w:rsidR="00BD3CEE" w:rsidTr="000A6280" w14:paraId="76876876"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70161A5D"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AFE4F1C"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92D9940"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555CE8F1"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8614455"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r w:rsidRPr="00993148" w:rsidR="00BD3CEE" w:rsidTr="000A6280" w14:paraId="0325A8E8"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43BF732C"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2B24603"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C34B190"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7C8CBE4C"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3E6D5369"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bl>
    <w:p w:rsidRPr="00993148" w:rsidR="00BD3CEE" w:rsidP="008C0FD8" w:rsidRDefault="00BD3CEE" w14:paraId="2549200A" w14:textId="52D28A51">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p w:rsidRPr="00993148" w:rsidR="00BD3CEE" w:rsidP="00BD3CEE" w:rsidRDefault="00BD3CEE" w14:paraId="31BDFDD7" w14:textId="77777777">
      <w:pPr>
        <w:pStyle w:val="TOCHeading"/>
        <w:spacing w:before="0" w:after="120"/>
        <w:rPr>
          <w:rFonts w:asciiTheme="minorHAnsi" w:hAnsiTheme="minorHAnsi" w:cstheme="minorHAnsi"/>
          <w:b/>
          <w:color w:val="auto"/>
          <w:sz w:val="28"/>
          <w:szCs w:val="28"/>
        </w:rPr>
      </w:pPr>
      <w:r w:rsidRPr="00993148">
        <w:rPr>
          <w:rFonts w:asciiTheme="minorHAnsi" w:hAnsiTheme="minorHAnsi" w:cstheme="minorHAnsi"/>
          <w:b/>
          <w:color w:val="auto"/>
          <w:sz w:val="28"/>
          <w:szCs w:val="28"/>
        </w:rPr>
        <w:t>Contents</w:t>
      </w:r>
    </w:p>
    <w:p w:rsidRPr="003608F8" w:rsidR="003608F8" w:rsidP="003608F8" w:rsidRDefault="00BD3CEE" w14:paraId="376E2374" w14:textId="78387E69">
      <w:pPr>
        <w:pStyle w:val="TOC3"/>
        <w:rPr>
          <w:rFonts w:asciiTheme="minorHAnsi" w:hAnsiTheme="minorHAnsi" w:eastAsiaTheme="minorEastAsia" w:cstheme="minorHAnsi"/>
          <w:noProof/>
          <w:color w:val="auto"/>
          <w:kern w:val="2"/>
          <w:sz w:val="22"/>
          <w:lang w:eastAsia="en-GB" w:bidi="he-IL"/>
          <w14:ligatures w14:val="standardContextual"/>
        </w:rPr>
      </w:pPr>
      <w:r w:rsidRPr="003608F8">
        <w:rPr>
          <w:rFonts w:asciiTheme="minorHAnsi" w:hAnsiTheme="minorHAnsi" w:cstheme="minorHAnsi"/>
          <w:bCs/>
          <w:noProof/>
          <w:color w:val="auto"/>
          <w:szCs w:val="20"/>
        </w:rPr>
        <w:fldChar w:fldCharType="begin"/>
      </w:r>
      <w:r w:rsidRPr="003608F8">
        <w:rPr>
          <w:rFonts w:asciiTheme="minorHAnsi" w:hAnsiTheme="minorHAnsi" w:cstheme="minorHAnsi"/>
          <w:bCs/>
          <w:noProof/>
          <w:color w:val="auto"/>
          <w:szCs w:val="20"/>
        </w:rPr>
        <w:instrText xml:space="preserve"> TOC \o "1-3" \h \z \u </w:instrText>
      </w:r>
      <w:r w:rsidRPr="003608F8">
        <w:rPr>
          <w:rFonts w:asciiTheme="minorHAnsi" w:hAnsiTheme="minorHAnsi" w:cstheme="minorHAnsi"/>
          <w:bCs/>
          <w:noProof/>
          <w:color w:val="auto"/>
          <w:szCs w:val="20"/>
        </w:rPr>
        <w:fldChar w:fldCharType="separate"/>
      </w:r>
      <w:hyperlink w:history="1" w:anchor="_Toc239609841">
        <w:r w:rsidRPr="003608F8" w:rsidR="003608F8">
          <w:rPr>
            <w:rStyle w:val="Hyperlink"/>
            <w:rFonts w:asciiTheme="minorHAnsi" w:hAnsiTheme="minorHAnsi" w:cstheme="minorHAnsi"/>
            <w:noProof/>
            <w:color w:val="auto"/>
            <w:sz w:val="22"/>
          </w:rPr>
          <w:t>1</w:t>
        </w:r>
        <w:r w:rsidRPr="003608F8" w:rsidR="003608F8">
          <w:rPr>
            <w:rFonts w:asciiTheme="minorHAnsi" w:hAnsiTheme="minorHAnsi" w:eastAsiaTheme="minorEastAsia" w:cstheme="minorHAnsi"/>
            <w:noProof/>
            <w:color w:val="auto"/>
            <w:kern w:val="2"/>
            <w:sz w:val="22"/>
            <w:lang w:eastAsia="en-GB" w:bidi="he-IL"/>
            <w14:ligatures w14:val="standardContextual"/>
          </w:rPr>
          <w:tab/>
        </w:r>
        <w:r w:rsidRPr="003608F8" w:rsidR="003608F8">
          <w:rPr>
            <w:rStyle w:val="Hyperlink"/>
            <w:rFonts w:asciiTheme="minorHAnsi" w:hAnsiTheme="minorHAnsi" w:cstheme="minorHAnsi"/>
            <w:noProof/>
            <w:color w:val="auto"/>
            <w:sz w:val="22"/>
          </w:rPr>
          <w:t>Aims</w:t>
        </w:r>
        <w:r w:rsidRPr="003608F8" w:rsidR="003608F8">
          <w:rPr>
            <w:rFonts w:asciiTheme="minorHAnsi" w:hAnsiTheme="minorHAnsi" w:cstheme="minorHAnsi"/>
            <w:noProof/>
            <w:webHidden/>
            <w:color w:val="auto"/>
            <w:sz w:val="22"/>
          </w:rPr>
          <w:tab/>
        </w:r>
        <w:r w:rsidRPr="003608F8" w:rsidR="003608F8">
          <w:rPr>
            <w:rFonts w:asciiTheme="minorHAnsi" w:hAnsiTheme="minorHAnsi" w:cstheme="minorHAnsi"/>
            <w:noProof/>
            <w:webHidden/>
            <w:color w:val="auto"/>
            <w:sz w:val="22"/>
          </w:rPr>
          <w:fldChar w:fldCharType="begin"/>
        </w:r>
        <w:r w:rsidRPr="003608F8" w:rsidR="003608F8">
          <w:rPr>
            <w:rFonts w:asciiTheme="minorHAnsi" w:hAnsiTheme="minorHAnsi" w:cstheme="minorHAnsi"/>
            <w:noProof/>
            <w:webHidden/>
            <w:color w:val="auto"/>
            <w:sz w:val="22"/>
          </w:rPr>
          <w:instrText xml:space="preserve"> PAGEREF _Toc239609841 \h </w:instrText>
        </w:r>
        <w:r w:rsidRPr="003608F8" w:rsidR="003608F8">
          <w:rPr>
            <w:rFonts w:asciiTheme="minorHAnsi" w:hAnsiTheme="minorHAnsi" w:cstheme="minorHAnsi"/>
            <w:noProof/>
            <w:webHidden/>
            <w:color w:val="auto"/>
            <w:sz w:val="22"/>
          </w:rPr>
        </w:r>
        <w:r w:rsidRPr="003608F8" w:rsidR="003608F8">
          <w:rPr>
            <w:rFonts w:asciiTheme="minorHAnsi" w:hAnsiTheme="minorHAnsi" w:cstheme="minorHAnsi"/>
            <w:noProof/>
            <w:webHidden/>
            <w:color w:val="auto"/>
            <w:sz w:val="22"/>
          </w:rPr>
          <w:fldChar w:fldCharType="separate"/>
        </w:r>
        <w:r w:rsidRPr="003608F8" w:rsidR="003608F8">
          <w:rPr>
            <w:rFonts w:asciiTheme="minorHAnsi" w:hAnsiTheme="minorHAnsi" w:cstheme="minorHAnsi"/>
            <w:noProof/>
            <w:webHidden/>
            <w:color w:val="auto"/>
            <w:sz w:val="22"/>
          </w:rPr>
          <w:t>1</w:t>
        </w:r>
        <w:r w:rsidRPr="003608F8" w:rsidR="003608F8">
          <w:rPr>
            <w:rFonts w:asciiTheme="minorHAnsi" w:hAnsiTheme="minorHAnsi" w:cstheme="minorHAnsi"/>
            <w:noProof/>
            <w:webHidden/>
            <w:color w:val="auto"/>
            <w:sz w:val="22"/>
          </w:rPr>
          <w:fldChar w:fldCharType="end"/>
        </w:r>
      </w:hyperlink>
    </w:p>
    <w:p w:rsidRPr="003608F8" w:rsidR="003608F8" w:rsidP="003608F8" w:rsidRDefault="003608F8" w14:paraId="1752E439" w14:textId="556E6FA9">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2">
        <w:r w:rsidRPr="003608F8">
          <w:rPr>
            <w:rStyle w:val="Hyperlink"/>
            <w:rFonts w:asciiTheme="minorHAnsi" w:hAnsiTheme="minorHAnsi" w:cstheme="minorHAnsi"/>
            <w:noProof/>
            <w:color w:val="auto"/>
            <w:sz w:val="22"/>
          </w:rPr>
          <w:t>2</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Definitions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_Toc239609842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1</w:t>
        </w:r>
        <w:r w:rsidRPr="003608F8">
          <w:rPr>
            <w:rFonts w:asciiTheme="minorHAnsi" w:hAnsiTheme="minorHAnsi" w:cstheme="minorHAnsi"/>
            <w:noProof/>
            <w:webHidden/>
            <w:color w:val="auto"/>
            <w:sz w:val="22"/>
          </w:rPr>
          <w:fldChar w:fldCharType="end"/>
        </w:r>
      </w:hyperlink>
    </w:p>
    <w:p w:rsidRPr="003608F8" w:rsidR="003608F8" w:rsidP="003608F8" w:rsidRDefault="003608F8" w14:paraId="620A1255" w14:textId="0F3BF01E">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3">
        <w:r w:rsidRPr="003608F8">
          <w:rPr>
            <w:rStyle w:val="Hyperlink"/>
            <w:rFonts w:asciiTheme="minorHAnsi" w:hAnsiTheme="minorHAnsi" w:cstheme="minorHAnsi"/>
            <w:noProof/>
            <w:color w:val="auto"/>
            <w:sz w:val="22"/>
          </w:rPr>
          <w:t>3</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Roles &amp; responsibilities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_Toc239609843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2</w:t>
        </w:r>
        <w:r w:rsidRPr="003608F8">
          <w:rPr>
            <w:rFonts w:asciiTheme="minorHAnsi" w:hAnsiTheme="minorHAnsi" w:cstheme="minorHAnsi"/>
            <w:noProof/>
            <w:webHidden/>
            <w:color w:val="auto"/>
            <w:sz w:val="22"/>
          </w:rPr>
          <w:fldChar w:fldCharType="end"/>
        </w:r>
      </w:hyperlink>
    </w:p>
    <w:p w:rsidRPr="003608F8" w:rsidR="003608F8" w:rsidP="003608F8" w:rsidRDefault="003608F8" w14:paraId="376E267D" w14:textId="470B0BC2">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4">
        <w:r w:rsidRPr="003608F8">
          <w:rPr>
            <w:rStyle w:val="Hyperlink"/>
            <w:rFonts w:asciiTheme="minorHAnsi" w:hAnsiTheme="minorHAnsi" w:cstheme="minorHAnsi"/>
            <w:noProof/>
            <w:color w:val="auto"/>
            <w:sz w:val="22"/>
          </w:rPr>
          <w:t>4</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Identification &amp; assessment of SEN</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_Toc239609844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3</w:t>
        </w:r>
        <w:r w:rsidRPr="003608F8">
          <w:rPr>
            <w:rFonts w:asciiTheme="minorHAnsi" w:hAnsiTheme="minorHAnsi" w:cstheme="minorHAnsi"/>
            <w:noProof/>
            <w:webHidden/>
            <w:color w:val="auto"/>
            <w:sz w:val="22"/>
          </w:rPr>
          <w:fldChar w:fldCharType="end"/>
        </w:r>
      </w:hyperlink>
    </w:p>
    <w:p w:rsidRPr="003608F8" w:rsidR="003608F8" w:rsidP="003608F8" w:rsidRDefault="003608F8" w14:paraId="17C75A8F" w14:textId="56AD6E05">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5">
        <w:r w:rsidRPr="003608F8">
          <w:rPr>
            <w:rStyle w:val="Hyperlink"/>
            <w:rFonts w:asciiTheme="minorHAnsi" w:hAnsiTheme="minorHAnsi" w:cstheme="minorHAnsi"/>
            <w:noProof/>
            <w:color w:val="auto"/>
            <w:sz w:val="22"/>
          </w:rPr>
          <w:t>5</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Reviewing</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_Toc239609845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4</w:t>
        </w:r>
        <w:r w:rsidRPr="003608F8">
          <w:rPr>
            <w:rFonts w:asciiTheme="minorHAnsi" w:hAnsiTheme="minorHAnsi" w:cstheme="minorHAnsi"/>
            <w:noProof/>
            <w:webHidden/>
            <w:color w:val="auto"/>
            <w:sz w:val="22"/>
          </w:rPr>
          <w:fldChar w:fldCharType="end"/>
        </w:r>
      </w:hyperlink>
    </w:p>
    <w:p w:rsidRPr="003608F8" w:rsidR="003608F8" w:rsidP="003608F8" w:rsidRDefault="003608F8" w14:paraId="55E9EEEC" w14:textId="1DD4D5B7">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6">
        <w:r w:rsidRPr="003608F8">
          <w:rPr>
            <w:rStyle w:val="Hyperlink"/>
            <w:rFonts w:asciiTheme="minorHAnsi" w:hAnsiTheme="minorHAnsi" w:cstheme="minorHAnsi"/>
            <w:noProof/>
            <w:color w:val="auto"/>
            <w:sz w:val="22"/>
          </w:rPr>
          <w:t>6</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Complaints and disputes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_Toc239609846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5</w:t>
        </w:r>
        <w:r w:rsidRPr="003608F8">
          <w:rPr>
            <w:rFonts w:asciiTheme="minorHAnsi" w:hAnsiTheme="minorHAnsi" w:cstheme="minorHAnsi"/>
            <w:noProof/>
            <w:webHidden/>
            <w:color w:val="auto"/>
            <w:sz w:val="22"/>
          </w:rPr>
          <w:fldChar w:fldCharType="end"/>
        </w:r>
      </w:hyperlink>
    </w:p>
    <w:p w:rsidRPr="003608F8" w:rsidR="003608F8" w:rsidP="003608F8" w:rsidRDefault="003608F8" w14:paraId="0A7FBECF" w14:textId="678F9398">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7">
        <w:r w:rsidRPr="003608F8">
          <w:rPr>
            <w:rStyle w:val="Hyperlink"/>
            <w:rFonts w:asciiTheme="minorHAnsi" w:hAnsiTheme="minorHAnsi" w:cstheme="minorHAnsi"/>
            <w:noProof/>
            <w:color w:val="auto"/>
            <w:sz w:val="22"/>
          </w:rPr>
          <w:t>7</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Policy links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_Toc239609847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5</w:t>
        </w:r>
        <w:r w:rsidRPr="003608F8">
          <w:rPr>
            <w:rFonts w:asciiTheme="minorHAnsi" w:hAnsiTheme="minorHAnsi" w:cstheme="minorHAnsi"/>
            <w:noProof/>
            <w:webHidden/>
            <w:color w:val="auto"/>
            <w:sz w:val="22"/>
          </w:rPr>
          <w:fldChar w:fldCharType="end"/>
        </w:r>
      </w:hyperlink>
    </w:p>
    <w:p w:rsidRPr="00993148" w:rsidR="000314B9" w:rsidP="00BD3CEE" w:rsidRDefault="00BD3CEE" w14:paraId="7881F3FA" w14:textId="61C7D454">
      <w:pPr>
        <w:pStyle w:val="BodyText"/>
        <w:rPr>
          <w:rFonts w:asciiTheme="minorHAnsi" w:hAnsiTheme="minorHAnsi" w:cstheme="minorHAnsi"/>
          <w:b/>
        </w:rPr>
        <w:sectPr w:rsidRPr="00993148" w:rsidR="000314B9" w:rsidSect="00726B1A">
          <w:headerReference w:type="even" r:id="rId11"/>
          <w:footerReference w:type="even" r:id="rId12"/>
          <w:headerReference w:type="first" r:id="rId13"/>
          <w:pgSz w:w="11906" w:h="16838" w:orient="portrait" w:code="9"/>
          <w:pgMar w:top="1440" w:right="1440" w:bottom="1440" w:left="1440" w:header="567" w:footer="567" w:gutter="0"/>
          <w:paperSrc w:first="1" w:other="1"/>
          <w:cols w:space="708"/>
          <w:titlePg/>
          <w:docGrid w:linePitch="360"/>
          <w:headerReference w:type="default" r:id="R86d1cf9007a848b5"/>
          <w:footerReference w:type="default" r:id="Rc8f424a945b44672"/>
          <w:footerReference w:type="first" r:id="Rf75b4ba6dde34677"/>
        </w:sectPr>
      </w:pPr>
      <w:r w:rsidRPr="003608F8">
        <w:rPr>
          <w:rFonts w:asciiTheme="minorHAnsi" w:hAnsiTheme="minorHAnsi" w:cstheme="minorHAnsi"/>
          <w:noProof/>
          <w:szCs w:val="20"/>
        </w:rPr>
        <w:fldChar w:fldCharType="end"/>
      </w:r>
    </w:p>
    <w:p w:rsidRPr="00993148" w:rsidR="004B1832" w:rsidP="000314B9" w:rsidRDefault="00D839C9" w14:paraId="2C79B7CE" w14:textId="77777777">
      <w:pPr>
        <w:pStyle w:val="BrowneHeadingLevel1"/>
        <w:rPr>
          <w:rFonts w:asciiTheme="minorHAnsi" w:hAnsiTheme="minorHAnsi" w:cstheme="minorHAnsi"/>
        </w:rPr>
      </w:pPr>
      <w:bookmarkStart w:name="_Toc239609841" w:id="0"/>
      <w:r w:rsidRPr="00993148">
        <w:rPr>
          <w:rFonts w:asciiTheme="minorHAnsi" w:hAnsiTheme="minorHAnsi" w:cstheme="minorHAnsi"/>
        </w:rPr>
        <w:lastRenderedPageBreak/>
        <w:t>Aims</w:t>
      </w:r>
      <w:bookmarkEnd w:id="0"/>
    </w:p>
    <w:p w:rsidRPr="00993148" w:rsidR="000D262C" w:rsidP="00993148" w:rsidRDefault="00993148" w14:paraId="548D2896" w14:textId="59C4CC56">
      <w:pPr>
        <w:pStyle w:val="BrowneClauseLevel2"/>
        <w:rPr>
          <w:rFonts w:asciiTheme="minorHAnsi" w:hAnsiTheme="minorHAnsi" w:cstheme="minorHAnsi"/>
        </w:rPr>
      </w:pPr>
      <w:r w:rsidRPr="00993148">
        <w:rPr>
          <w:rFonts w:asciiTheme="minorHAnsi" w:hAnsiTheme="minorHAnsi" w:cstheme="minorHAnsi"/>
        </w:rPr>
        <w:t>It is the intention of the trust that this policy reflects our vision of “Flourishing Together” and our values of kindness, integrity and resilience.   </w:t>
      </w:r>
      <w:r w:rsidRPr="00993148" w:rsidR="00D839C9">
        <w:rPr>
          <w:rFonts w:asciiTheme="minorHAnsi" w:hAnsiTheme="minorHAnsi" w:cstheme="minorHAnsi"/>
        </w:rPr>
        <w:t>Our support for all children within our care extends to those children with additional needs that require assistance to help them fulfil their potential.</w:t>
      </w:r>
    </w:p>
    <w:p w:rsidRPr="00993148" w:rsidR="004B1832" w:rsidP="000314B9" w:rsidRDefault="00993148" w14:paraId="465AD8A9" w14:textId="2A71D90D">
      <w:pPr>
        <w:pStyle w:val="BrowneClauseLevel2"/>
        <w:rPr>
          <w:rFonts w:asciiTheme="minorHAnsi" w:hAnsiTheme="minorHAnsi" w:cstheme="minorHAnsi"/>
        </w:rPr>
      </w:pPr>
      <w:r>
        <w:rPr>
          <w:rFonts w:asciiTheme="minorHAnsi" w:hAnsiTheme="minorHAnsi" w:cstheme="minorHAnsi"/>
        </w:rPr>
        <w:t>The school</w:t>
      </w:r>
      <w:r w:rsidRPr="00993148" w:rsidR="00D839C9">
        <w:rPr>
          <w:rFonts w:asciiTheme="minorHAnsi" w:hAnsiTheme="minorHAnsi" w:cstheme="minorHAnsi"/>
        </w:rPr>
        <w:t xml:space="preserve"> shall ensure that: </w:t>
      </w:r>
    </w:p>
    <w:p w:rsidRPr="00993148" w:rsidR="004B1832" w:rsidP="00F10035" w:rsidRDefault="00993148" w14:paraId="2636A0E4" w14:textId="5CA6402B">
      <w:pPr>
        <w:pStyle w:val="BrowneBulletLevel1"/>
        <w:tabs>
          <w:tab w:val="clear" w:pos="227"/>
          <w:tab w:val="num" w:pos="630"/>
        </w:tabs>
        <w:ind w:left="810"/>
        <w:rPr>
          <w:rFonts w:asciiTheme="minorHAnsi" w:hAnsiTheme="minorHAnsi" w:cstheme="minorHAnsi"/>
        </w:rPr>
      </w:pPr>
      <w:r>
        <w:rPr>
          <w:rFonts w:asciiTheme="minorHAnsi" w:hAnsiTheme="minorHAnsi" w:cstheme="minorHAnsi"/>
        </w:rPr>
        <w:t>Pupils</w:t>
      </w:r>
      <w:r w:rsidRPr="00993148" w:rsidR="00D839C9">
        <w:rPr>
          <w:rFonts w:asciiTheme="minorHAnsi" w:hAnsiTheme="minorHAnsi" w:cstheme="minorHAnsi"/>
        </w:rPr>
        <w:t xml:space="preserve"> will not be labelled or disadvantaged by any policy or procedure operated within the </w:t>
      </w:r>
      <w:r w:rsidRPr="00993148" w:rsidR="000C3395">
        <w:rPr>
          <w:rFonts w:asciiTheme="minorHAnsi" w:hAnsiTheme="minorHAnsi" w:cstheme="minorHAnsi"/>
        </w:rPr>
        <w:t>Trust.</w:t>
      </w:r>
    </w:p>
    <w:p w:rsidRPr="00993148" w:rsidR="004B1832" w:rsidP="00F10035" w:rsidRDefault="000C3395" w14:paraId="18C707F9" w14:textId="5B32170F">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I</w:t>
      </w:r>
      <w:r w:rsidRPr="00993148" w:rsidR="00D839C9">
        <w:rPr>
          <w:rFonts w:asciiTheme="minorHAnsi" w:hAnsiTheme="minorHAnsi" w:cstheme="minorHAnsi"/>
        </w:rPr>
        <w:t xml:space="preserve">t works in partnership with parents and appropriate external agencies to support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with special educational needs and will use its best endeavours</w:t>
      </w:r>
      <w:r w:rsidRPr="00993148" w:rsidR="00C1353E">
        <w:rPr>
          <w:rFonts w:asciiTheme="minorHAnsi" w:hAnsiTheme="minorHAnsi" w:cstheme="minorHAnsi"/>
        </w:rPr>
        <w:t xml:space="preserve"> to</w:t>
      </w:r>
      <w:r w:rsidRPr="00993148" w:rsidR="00D839C9">
        <w:rPr>
          <w:rFonts w:asciiTheme="minorHAnsi" w:hAnsiTheme="minorHAnsi" w:cstheme="minorHAnsi"/>
        </w:rPr>
        <w:t xml:space="preserve"> ensure that appropriate provision is secured for any </w:t>
      </w:r>
      <w:r w:rsidR="00823C62">
        <w:rPr>
          <w:rFonts w:asciiTheme="minorHAnsi" w:hAnsiTheme="minorHAnsi" w:cstheme="minorHAnsi"/>
        </w:rPr>
        <w:t xml:space="preserve">pupil </w:t>
      </w:r>
      <w:r w:rsidRPr="00993148" w:rsidR="00D839C9">
        <w:rPr>
          <w:rFonts w:asciiTheme="minorHAnsi" w:hAnsiTheme="minorHAnsi" w:cstheme="minorHAnsi"/>
        </w:rPr>
        <w:t xml:space="preserve">with special educational needs in order to achieve agreed </w:t>
      </w:r>
      <w:r w:rsidRPr="00993148">
        <w:rPr>
          <w:rFonts w:asciiTheme="minorHAnsi" w:hAnsiTheme="minorHAnsi" w:cstheme="minorHAnsi"/>
        </w:rPr>
        <w:t>outcomes.</w:t>
      </w:r>
    </w:p>
    <w:p w:rsidRPr="00993148" w:rsidR="004B1832" w:rsidP="00F10035" w:rsidRDefault="000C3395" w14:paraId="26899754" w14:textId="67E7AEFA">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It </w:t>
      </w:r>
      <w:r w:rsidRPr="00993148" w:rsidR="00D839C9">
        <w:rPr>
          <w:rFonts w:asciiTheme="minorHAnsi" w:hAnsiTheme="minorHAnsi" w:cstheme="minorHAnsi"/>
        </w:rPr>
        <w:t xml:space="preserve">has a </w:t>
      </w:r>
      <w:r w:rsidRPr="00993148">
        <w:rPr>
          <w:rFonts w:asciiTheme="minorHAnsi" w:hAnsiTheme="minorHAnsi" w:cstheme="minorHAnsi"/>
        </w:rPr>
        <w:t>special educational needs co</w:t>
      </w:r>
      <w:r w:rsidRPr="00993148" w:rsidR="00D839C9">
        <w:rPr>
          <w:rFonts w:asciiTheme="minorHAnsi" w:hAnsiTheme="minorHAnsi" w:cstheme="minorHAnsi"/>
        </w:rPr>
        <w:t>-ordinator (SENCO)</w:t>
      </w:r>
      <w:r w:rsidRPr="00993148" w:rsidR="0085570A">
        <w:rPr>
          <w:rFonts w:asciiTheme="minorHAnsi" w:hAnsiTheme="minorHAnsi" w:cstheme="minorHAnsi"/>
        </w:rPr>
        <w:t xml:space="preserve"> who meets the requirements set out in the Children and Families Act 2014</w:t>
      </w:r>
      <w:r w:rsidRPr="00993148" w:rsidR="00D839C9">
        <w:rPr>
          <w:rFonts w:asciiTheme="minorHAnsi" w:hAnsiTheme="minorHAnsi" w:cstheme="minorHAnsi"/>
        </w:rPr>
        <w:t xml:space="preserve">. The SENCO will maintain and regularly review the SEN </w:t>
      </w:r>
      <w:r w:rsidRPr="00993148" w:rsidR="003C5BA8">
        <w:rPr>
          <w:rFonts w:asciiTheme="minorHAnsi" w:hAnsiTheme="minorHAnsi" w:cstheme="minorHAnsi"/>
        </w:rPr>
        <w:t xml:space="preserve">register </w:t>
      </w:r>
      <w:r w:rsidRPr="00993148" w:rsidR="00D839C9">
        <w:rPr>
          <w:rFonts w:asciiTheme="minorHAnsi" w:hAnsiTheme="minorHAnsi" w:cstheme="minorHAnsi"/>
        </w:rPr>
        <w:t xml:space="preserve">held in respect of an individual </w:t>
      </w:r>
      <w:r w:rsidR="00823C62">
        <w:rPr>
          <w:rFonts w:asciiTheme="minorHAnsi" w:hAnsiTheme="minorHAnsi" w:cstheme="minorHAnsi"/>
        </w:rPr>
        <w:t xml:space="preserve">pupil </w:t>
      </w:r>
      <w:r w:rsidRPr="00993148" w:rsidR="00D839C9">
        <w:rPr>
          <w:rFonts w:asciiTheme="minorHAnsi" w:hAnsiTheme="minorHAnsi" w:cstheme="minorHAnsi"/>
        </w:rPr>
        <w:t xml:space="preserve">and co-ordinate support. However, it will be the responsibility of all staff to support individual pupils, to implement strategies suggested by the SENCO and generally be responsible for ensuring that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 xml:space="preserve">receive provision appropriate to their needs and agreed outcomes; and </w:t>
      </w:r>
    </w:p>
    <w:p w:rsidRPr="00993148" w:rsidR="004B1832" w:rsidP="00F10035" w:rsidRDefault="000C3395" w14:paraId="077F2A04" w14:textId="5BC532E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Children </w:t>
      </w:r>
      <w:r w:rsidRPr="00993148" w:rsidR="00D839C9">
        <w:rPr>
          <w:rFonts w:asciiTheme="minorHAnsi" w:hAnsiTheme="minorHAnsi" w:cstheme="minorHAnsi"/>
        </w:rPr>
        <w:t xml:space="preserve">and young people with SEN engage in the activities of the school alongside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 xml:space="preserve">who do not have </w:t>
      </w:r>
      <w:r w:rsidRPr="00993148">
        <w:rPr>
          <w:rFonts w:asciiTheme="minorHAnsi" w:hAnsiTheme="minorHAnsi" w:cstheme="minorHAnsi"/>
        </w:rPr>
        <w:t>SEN.</w:t>
      </w:r>
      <w:r w:rsidRPr="00993148" w:rsidR="00D839C9">
        <w:rPr>
          <w:rFonts w:asciiTheme="minorHAnsi" w:hAnsiTheme="minorHAnsi" w:cstheme="minorHAnsi"/>
        </w:rPr>
        <w:t xml:space="preserve"> </w:t>
      </w:r>
    </w:p>
    <w:p w:rsidRPr="00993148" w:rsidR="004B1832" w:rsidP="000314B9" w:rsidRDefault="00D839C9" w14:paraId="347B8D48" w14:textId="77777777">
      <w:pPr>
        <w:pStyle w:val="BrowneClauseLevel2"/>
        <w:rPr>
          <w:rFonts w:asciiTheme="minorHAnsi" w:hAnsiTheme="minorHAnsi" w:cstheme="minorHAnsi"/>
        </w:rPr>
      </w:pPr>
      <w:r w:rsidRPr="00993148">
        <w:rPr>
          <w:rFonts w:asciiTheme="minorHAnsi" w:hAnsiTheme="minorHAnsi" w:cstheme="minorHAnsi"/>
        </w:rPr>
        <w:t xml:space="preserve">All support provided and decisions taken have regard to these general principles as well as the legal framework set out in the Children &amp; Families Act 2014, the SEND Regulations 2014 and the SEND Code of Practice 2015. </w:t>
      </w:r>
    </w:p>
    <w:p w:rsidRPr="00993148" w:rsidR="009B523C" w:rsidP="009B523C" w:rsidRDefault="00D839C9" w14:paraId="02E7D4FB" w14:textId="77777777">
      <w:pPr>
        <w:pStyle w:val="BrowneClauseLevel2"/>
        <w:rPr>
          <w:rFonts w:asciiTheme="minorHAnsi" w:hAnsiTheme="minorHAnsi" w:cstheme="minorHAnsi"/>
        </w:rPr>
      </w:pPr>
      <w:r w:rsidRPr="00993148">
        <w:rPr>
          <w:rFonts w:asciiTheme="minorHAnsi" w:hAnsiTheme="minorHAnsi" w:cstheme="minorHAnsi"/>
        </w:rPr>
        <w:t>This policy also has regard to:</w:t>
      </w:r>
    </w:p>
    <w:p w:rsidRPr="00993148" w:rsidR="009B523C" w:rsidP="00F10035" w:rsidRDefault="00D839C9" w14:paraId="12E26226" w14:textId="07DAD4C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The Equality Act 2010, particularly the duty to make reasonable adjustments and eliminate </w:t>
      </w:r>
      <w:r w:rsidRPr="00993148" w:rsidR="000C3395">
        <w:rPr>
          <w:rFonts w:asciiTheme="minorHAnsi" w:hAnsiTheme="minorHAnsi" w:cstheme="minorHAnsi"/>
        </w:rPr>
        <w:t>discrimination.</w:t>
      </w:r>
    </w:p>
    <w:p w:rsidRPr="00993148" w:rsidR="009B523C" w:rsidP="00F10035" w:rsidRDefault="00D839C9" w14:paraId="11DC11CB" w14:textId="77777777">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The Data Protection Act 2018 and UK GDPR regarding the processing of SEND-related personal data;</w:t>
      </w:r>
      <w:r w:rsidRPr="00993148" w:rsidR="004D5AD5">
        <w:rPr>
          <w:rFonts w:asciiTheme="minorHAnsi" w:hAnsiTheme="minorHAnsi" w:cstheme="minorHAnsi"/>
        </w:rPr>
        <w:t xml:space="preserve"> and</w:t>
      </w:r>
    </w:p>
    <w:p w:rsidRPr="00993148" w:rsidR="004D5AD5" w:rsidP="00F10035" w:rsidRDefault="00D839C9" w14:paraId="42A355E3" w14:textId="70658CD0">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Working Together to Safeguard Children (20</w:t>
      </w:r>
      <w:r w:rsidRPr="00993148" w:rsidR="0085570A">
        <w:rPr>
          <w:rFonts w:asciiTheme="minorHAnsi" w:hAnsiTheme="minorHAnsi" w:cstheme="minorHAnsi"/>
        </w:rPr>
        <w:t>26</w:t>
      </w:r>
      <w:r w:rsidRPr="00993148">
        <w:rPr>
          <w:rFonts w:asciiTheme="minorHAnsi" w:hAnsiTheme="minorHAnsi" w:cstheme="minorHAnsi"/>
        </w:rPr>
        <w:t>) and Keeping Children Safe in Education.</w:t>
      </w:r>
    </w:p>
    <w:p w:rsidRPr="00993148" w:rsidR="004B1832" w:rsidP="00D72FF4" w:rsidRDefault="00D839C9" w14:paraId="0F22C7B3" w14:textId="77777777">
      <w:pPr>
        <w:pStyle w:val="BrowneHeadingLevel1"/>
        <w:keepNext/>
        <w:ind w:left="619" w:hanging="619"/>
        <w:rPr>
          <w:rFonts w:asciiTheme="minorHAnsi" w:hAnsiTheme="minorHAnsi" w:cstheme="minorHAnsi"/>
        </w:rPr>
      </w:pPr>
      <w:bookmarkStart w:name="_Toc239609842" w:id="1"/>
      <w:r w:rsidRPr="00993148">
        <w:rPr>
          <w:rFonts w:asciiTheme="minorHAnsi" w:hAnsiTheme="minorHAnsi" w:cstheme="minorHAnsi"/>
        </w:rPr>
        <w:t>Definitions</w:t>
      </w:r>
      <w:bookmarkEnd w:id="1"/>
    </w:p>
    <w:p w:rsidRPr="00993148" w:rsidR="004B1832" w:rsidP="000314B9" w:rsidRDefault="00D839C9" w14:paraId="4453D686" w14:textId="77777777">
      <w:pPr>
        <w:pStyle w:val="BrowneClauseLevel2"/>
        <w:rPr>
          <w:rFonts w:asciiTheme="minorHAnsi" w:hAnsiTheme="minorHAnsi" w:cstheme="minorHAnsi"/>
        </w:rPr>
      </w:pPr>
      <w:r w:rsidRPr="00993148">
        <w:rPr>
          <w:rFonts w:asciiTheme="minorHAnsi" w:hAnsiTheme="minorHAnsi" w:cstheme="minorHAnsi"/>
        </w:rPr>
        <w:t>Under the Children &amp; Families Act 2014, a child/young person will have SEN if they have a learning difficulty or disability which calls for special educational provision to be made for them.</w:t>
      </w:r>
    </w:p>
    <w:p w:rsidRPr="00993148" w:rsidR="004B1832" w:rsidP="000314B9" w:rsidRDefault="00D839C9" w14:paraId="5F59AADE" w14:textId="77777777">
      <w:pPr>
        <w:pStyle w:val="BrowneClauseLevel2"/>
        <w:rPr>
          <w:rFonts w:asciiTheme="minorHAnsi" w:hAnsiTheme="minorHAnsi" w:cstheme="minorHAnsi"/>
        </w:rPr>
      </w:pPr>
      <w:r w:rsidRPr="00993148">
        <w:rPr>
          <w:rFonts w:asciiTheme="minorHAnsi" w:hAnsiTheme="minorHAnsi" w:cstheme="minorHAnsi"/>
        </w:rPr>
        <w:t>A Child or Young Person will have a learning difficulty or disability if they have:</w:t>
      </w:r>
    </w:p>
    <w:p w:rsidRPr="00993148" w:rsidR="004B1832" w:rsidP="000314B9" w:rsidRDefault="00D839C9" w14:paraId="0DFCFED6" w14:textId="77777777">
      <w:pPr>
        <w:pStyle w:val="BrowneBulletLevel3"/>
        <w:rPr>
          <w:rFonts w:asciiTheme="minorHAnsi" w:hAnsiTheme="minorHAnsi" w:cstheme="minorHAnsi"/>
          <w:sz w:val="22"/>
        </w:rPr>
      </w:pPr>
      <w:r w:rsidRPr="00993148">
        <w:rPr>
          <w:rFonts w:asciiTheme="minorHAnsi" w:hAnsiTheme="minorHAnsi" w:cstheme="minorHAnsi"/>
          <w:sz w:val="22"/>
        </w:rPr>
        <w:lastRenderedPageBreak/>
        <w:t>A significantly greater difficulty in learning than the majority of others of the same age; or</w:t>
      </w:r>
    </w:p>
    <w:p w:rsidRPr="00993148" w:rsidR="004B1832" w:rsidP="000314B9" w:rsidRDefault="00D839C9" w14:paraId="3DC918B5" w14:textId="77777777">
      <w:pPr>
        <w:pStyle w:val="BrowneBulletLevel3"/>
        <w:rPr>
          <w:rFonts w:asciiTheme="minorHAnsi" w:hAnsiTheme="minorHAnsi" w:cstheme="minorHAnsi"/>
          <w:sz w:val="22"/>
        </w:rPr>
      </w:pPr>
      <w:r w:rsidRPr="00993148">
        <w:rPr>
          <w:rFonts w:asciiTheme="minorHAnsi" w:hAnsiTheme="minorHAnsi" w:cstheme="minorHAnsi"/>
          <w:sz w:val="22"/>
        </w:rPr>
        <w:t>A disability that prevents or hinders them from making use of facilities that are generally provided for others of the same age in mainstream schools in England.</w:t>
      </w:r>
    </w:p>
    <w:p w:rsidRPr="00993148" w:rsidR="004B1832" w:rsidP="000314B9" w:rsidRDefault="00D839C9" w14:paraId="66C59DBC" w14:textId="77777777">
      <w:pPr>
        <w:pStyle w:val="BrowneClauseLevel2"/>
        <w:rPr>
          <w:rFonts w:asciiTheme="minorHAnsi" w:hAnsiTheme="minorHAnsi" w:cstheme="minorHAnsi"/>
        </w:rPr>
      </w:pPr>
      <w:r w:rsidRPr="00993148">
        <w:rPr>
          <w:rFonts w:asciiTheme="minorHAnsi" w:hAnsiTheme="minorHAnsi" w:cstheme="minorHAnsi"/>
        </w:rPr>
        <w:t>Special Educational Provision is education or training that is additional to, or different from, that made generally for other children/young people of the same age by mainstream schools</w:t>
      </w:r>
      <w:r w:rsidRPr="00993148" w:rsidR="00A7650B">
        <w:rPr>
          <w:rFonts w:asciiTheme="minorHAnsi" w:hAnsiTheme="minorHAnsi" w:cstheme="minorHAnsi"/>
        </w:rPr>
        <w:t>.</w:t>
      </w:r>
    </w:p>
    <w:p w:rsidRPr="00993148" w:rsidR="004D5AD5" w:rsidP="004D5AD5" w:rsidRDefault="00D839C9" w14:paraId="46412829" w14:textId="724CCCF7">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operates a graduated approach to SEND support, comprising four stages:</w:t>
      </w:r>
    </w:p>
    <w:p w:rsidRPr="00993148" w:rsidR="004D5AD5" w:rsidP="00AF1CE7" w:rsidRDefault="00D839C9" w14:paraId="4CAE9831" w14:textId="6B1C6685">
      <w:pPr>
        <w:pStyle w:val="BrowneClauseLevel3"/>
        <w:rPr>
          <w:rFonts w:asciiTheme="minorHAnsi" w:hAnsiTheme="minorHAnsi" w:cstheme="minorHAnsi"/>
        </w:rPr>
      </w:pPr>
      <w:r w:rsidRPr="00993148">
        <w:rPr>
          <w:rFonts w:asciiTheme="minorHAnsi" w:hAnsiTheme="minorHAnsi" w:cstheme="minorHAnsi"/>
        </w:rPr>
        <w:t xml:space="preserve">Quality First Teaching: All </w:t>
      </w:r>
      <w:r w:rsidR="00AF35E9">
        <w:rPr>
          <w:rFonts w:asciiTheme="minorHAnsi" w:hAnsiTheme="minorHAnsi" w:cstheme="minorHAnsi"/>
        </w:rPr>
        <w:t>pupils</w:t>
      </w:r>
      <w:r w:rsidRPr="00993148">
        <w:rPr>
          <w:rFonts w:asciiTheme="minorHAnsi" w:hAnsiTheme="minorHAnsi" w:cstheme="minorHAnsi"/>
        </w:rPr>
        <w:t xml:space="preserve"> receive high-quality, differentiated teaching that meets the needs of all learners. This includes differentiated learning objectives, </w:t>
      </w:r>
      <w:r w:rsidRPr="00993148" w:rsidR="000C3395">
        <w:rPr>
          <w:rFonts w:asciiTheme="minorHAnsi" w:hAnsiTheme="minorHAnsi" w:cstheme="minorHAnsi"/>
        </w:rPr>
        <w:t>activities,</w:t>
      </w:r>
      <w:r w:rsidRPr="00993148">
        <w:rPr>
          <w:rFonts w:asciiTheme="minorHAnsi" w:hAnsiTheme="minorHAnsi" w:cstheme="minorHAnsi"/>
        </w:rPr>
        <w:t xml:space="preserve"> and outcomes; flexible grouping arrangements; use of varied teaching styles and resources; regular assessment and feedback; and classroom environment adaptations.</w:t>
      </w:r>
    </w:p>
    <w:p w:rsidRPr="00993148" w:rsidR="004D5AD5" w:rsidP="00AF1CE7" w:rsidRDefault="00D839C9" w14:paraId="61116DD6" w14:textId="7F4B2295">
      <w:pPr>
        <w:pStyle w:val="BrowneClauseLevel3"/>
        <w:rPr>
          <w:rFonts w:asciiTheme="minorHAnsi" w:hAnsiTheme="minorHAnsi" w:cstheme="minorHAnsi"/>
        </w:rPr>
      </w:pPr>
      <w:r w:rsidRPr="00993148">
        <w:rPr>
          <w:rFonts w:asciiTheme="minorHAnsi" w:hAnsiTheme="minorHAnsi" w:cstheme="minorHAnsi"/>
        </w:rPr>
        <w:t xml:space="preserve">SEN Support: Additional or different </w:t>
      </w:r>
      <w:r w:rsidRPr="009F2A67">
        <w:rPr>
          <w:rFonts w:asciiTheme="minorHAnsi" w:hAnsiTheme="minorHAnsi" w:cstheme="minorHAnsi"/>
        </w:rPr>
        <w:t xml:space="preserve">provision for </w:t>
      </w:r>
      <w:r w:rsidRPr="009F2A67" w:rsidR="00AF35E9">
        <w:rPr>
          <w:rFonts w:asciiTheme="minorHAnsi" w:hAnsiTheme="minorHAnsi" w:cstheme="minorHAnsi"/>
        </w:rPr>
        <w:t>pupils</w:t>
      </w:r>
      <w:r w:rsidRPr="009F2A67">
        <w:rPr>
          <w:rFonts w:asciiTheme="minorHAnsi" w:hAnsiTheme="minorHAnsi" w:cstheme="minorHAnsi"/>
        </w:rPr>
        <w:t xml:space="preserve"> who require</w:t>
      </w:r>
      <w:r w:rsidRPr="00993148">
        <w:rPr>
          <w:rFonts w:asciiTheme="minorHAnsi" w:hAnsiTheme="minorHAnsi" w:cstheme="minorHAnsi"/>
        </w:rPr>
        <w:t xml:space="preserve"> support beyond quality first teaching. This includes targeted interventions delivered by trained staff; specialist resources and equipment; modified curriculum access; and regular monitoring and review (minimum termly).</w:t>
      </w:r>
    </w:p>
    <w:p w:rsidRPr="00993148" w:rsidR="004D5AD5" w:rsidP="00AF1CE7" w:rsidRDefault="00D839C9" w14:paraId="74AF8301" w14:textId="56B0EF73">
      <w:pPr>
        <w:pStyle w:val="BrowneClauseLevel3"/>
        <w:rPr>
          <w:rFonts w:asciiTheme="minorHAnsi" w:hAnsiTheme="minorHAnsi" w:cstheme="minorHAnsi"/>
        </w:rPr>
      </w:pPr>
      <w:r w:rsidRPr="00993148">
        <w:rPr>
          <w:rFonts w:asciiTheme="minorHAnsi" w:hAnsiTheme="minorHAnsi" w:cstheme="minorHAnsi"/>
        </w:rPr>
        <w:t xml:space="preserve">Specialist Support: Involvement of external professionals to provide specialist assessment, </w:t>
      </w:r>
      <w:r w:rsidRPr="00993148" w:rsidR="000C3395">
        <w:rPr>
          <w:rFonts w:asciiTheme="minorHAnsi" w:hAnsiTheme="minorHAnsi" w:cstheme="minorHAnsi"/>
        </w:rPr>
        <w:t>advice,</w:t>
      </w:r>
      <w:r w:rsidRPr="00993148">
        <w:rPr>
          <w:rFonts w:asciiTheme="minorHAnsi" w:hAnsiTheme="minorHAnsi" w:cstheme="minorHAnsi"/>
        </w:rPr>
        <w:t xml:space="preserve"> or intervention. This may include educational psychologist assessment; speech and language therapy; occupational therapy; and specialist teaching services.</w:t>
      </w:r>
    </w:p>
    <w:p w:rsidRPr="00993148" w:rsidR="004D5AD5" w:rsidP="00AF1CE7" w:rsidRDefault="00D839C9" w14:paraId="0C41BC85" w14:textId="7B0F00C3">
      <w:pPr>
        <w:pStyle w:val="BrowneClauseLevel3"/>
        <w:rPr>
          <w:rFonts w:asciiTheme="minorHAnsi" w:hAnsiTheme="minorHAnsi" w:cstheme="minorHAnsi"/>
        </w:rPr>
      </w:pPr>
      <w:r w:rsidRPr="00993148">
        <w:rPr>
          <w:rFonts w:asciiTheme="minorHAnsi" w:hAnsiTheme="minorHAnsi" w:cstheme="minorHAnsi"/>
        </w:rPr>
        <w:t xml:space="preserve">Education, Health and Care Plan (EHCP): Statutory provision for </w:t>
      </w:r>
      <w:r w:rsidR="00AF35E9">
        <w:rPr>
          <w:rFonts w:asciiTheme="minorHAnsi" w:hAnsiTheme="minorHAnsi" w:cstheme="minorHAnsi"/>
        </w:rPr>
        <w:t>pupils</w:t>
      </w:r>
      <w:r w:rsidRPr="00993148">
        <w:rPr>
          <w:rFonts w:asciiTheme="minorHAnsi" w:hAnsiTheme="minorHAnsi" w:cstheme="minorHAnsi"/>
        </w:rPr>
        <w:t xml:space="preserve"> with the most complex needs requiring coordinated support across education, </w:t>
      </w:r>
      <w:r w:rsidRPr="00993148" w:rsidR="000C3395">
        <w:rPr>
          <w:rFonts w:asciiTheme="minorHAnsi" w:hAnsiTheme="minorHAnsi" w:cstheme="minorHAnsi"/>
        </w:rPr>
        <w:t>health,</w:t>
      </w:r>
      <w:r w:rsidRPr="00993148">
        <w:rPr>
          <w:rFonts w:asciiTheme="minorHAnsi" w:hAnsiTheme="minorHAnsi" w:cstheme="minorHAnsi"/>
        </w:rPr>
        <w:t xml:space="preserve"> and social care.</w:t>
      </w:r>
    </w:p>
    <w:p w:rsidRPr="00993148" w:rsidR="004B1832" w:rsidP="000314B9" w:rsidRDefault="00D839C9" w14:paraId="50E9F73B" w14:textId="3D8495A9">
      <w:pPr>
        <w:pStyle w:val="BrowneHeadingLevel1"/>
        <w:rPr>
          <w:rFonts w:asciiTheme="minorHAnsi" w:hAnsiTheme="minorHAnsi" w:cstheme="minorHAnsi"/>
        </w:rPr>
      </w:pPr>
      <w:bookmarkStart w:name="_Toc239609843" w:id="2"/>
      <w:r w:rsidRPr="00993148">
        <w:rPr>
          <w:rFonts w:asciiTheme="minorHAnsi" w:hAnsiTheme="minorHAnsi" w:cstheme="minorHAnsi"/>
        </w:rPr>
        <w:t xml:space="preserve">Roles </w:t>
      </w:r>
      <w:r w:rsidR="00A03E7C">
        <w:rPr>
          <w:rFonts w:asciiTheme="minorHAnsi" w:hAnsiTheme="minorHAnsi" w:cstheme="minorHAnsi"/>
        </w:rPr>
        <w:t>and</w:t>
      </w:r>
      <w:r w:rsidRPr="00993148" w:rsidR="00A03E7C">
        <w:rPr>
          <w:rFonts w:asciiTheme="minorHAnsi" w:hAnsiTheme="minorHAnsi" w:cstheme="minorHAnsi"/>
        </w:rPr>
        <w:t xml:space="preserve"> </w:t>
      </w:r>
      <w:r w:rsidRPr="00993148" w:rsidR="000C3395">
        <w:rPr>
          <w:rFonts w:asciiTheme="minorHAnsi" w:hAnsiTheme="minorHAnsi" w:cstheme="minorHAnsi"/>
        </w:rPr>
        <w:t>responsibilities</w:t>
      </w:r>
      <w:bookmarkEnd w:id="2"/>
    </w:p>
    <w:p w:rsidRPr="00993148" w:rsidR="00F47578" w:rsidP="000314B9" w:rsidRDefault="00D839C9" w14:paraId="3ABE8620" w14:textId="112B7EDC">
      <w:pPr>
        <w:pStyle w:val="BrowneClauseLevel2"/>
        <w:rPr>
          <w:rFonts w:asciiTheme="minorHAnsi" w:hAnsiTheme="minorHAnsi" w:cstheme="minorHAnsi"/>
        </w:rPr>
      </w:pPr>
      <w:r w:rsidRPr="00993148">
        <w:rPr>
          <w:rFonts w:asciiTheme="minorHAnsi" w:hAnsiTheme="minorHAnsi" w:cstheme="minorHAnsi"/>
        </w:rPr>
        <w:t xml:space="preserve">The implementation of this policy will be monitored by the </w:t>
      </w:r>
      <w:r w:rsidR="00AF5A68">
        <w:rPr>
          <w:rFonts w:asciiTheme="minorHAnsi" w:hAnsiTheme="minorHAnsi" w:cstheme="minorHAnsi"/>
        </w:rPr>
        <w:t xml:space="preserve">Trust board, supported by their local committees, </w:t>
      </w:r>
      <w:r w:rsidRPr="00993148">
        <w:rPr>
          <w:rFonts w:asciiTheme="minorHAnsi" w:hAnsiTheme="minorHAnsi" w:cstheme="minorHAnsi"/>
        </w:rPr>
        <w:t xml:space="preserve">and remain under constant review by </w:t>
      </w:r>
      <w:r w:rsidR="00AF3F9B">
        <w:rPr>
          <w:rFonts w:asciiTheme="minorHAnsi" w:hAnsiTheme="minorHAnsi" w:cstheme="minorHAnsi"/>
        </w:rPr>
        <w:t>the Headteacher and SENCO.</w:t>
      </w:r>
    </w:p>
    <w:p w:rsidR="00FF61B4" w:rsidP="00F10035" w:rsidRDefault="00FF61B4" w14:paraId="17721ED8" w14:textId="77777777">
      <w:pPr>
        <w:pStyle w:val="BrowneBulletLevel1"/>
        <w:tabs>
          <w:tab w:val="clear" w:pos="227"/>
          <w:tab w:val="num" w:pos="630"/>
        </w:tabs>
        <w:ind w:left="810"/>
        <w:rPr>
          <w:rFonts w:asciiTheme="minorHAnsi" w:hAnsiTheme="minorHAnsi" w:cstheme="minorHAnsi"/>
        </w:rPr>
      </w:pPr>
      <w:r w:rsidRPr="00FF61B4">
        <w:rPr>
          <w:rFonts w:asciiTheme="minorHAnsi" w:hAnsiTheme="minorHAnsi" w:cstheme="minorHAnsi"/>
        </w:rPr>
        <w:t>The trust will appoint a trustee director with responsibility for SEN. The trustee director will raise SEN issues at board and committee meetings; monitor the quality and effectiveness of SEN provision within the trust and work with the education team to develop the SEND policy and provision.</w:t>
      </w:r>
    </w:p>
    <w:p w:rsidRPr="00FF61B4" w:rsidR="00F47578" w:rsidP="00F10035" w:rsidRDefault="00AF3F9B" w14:paraId="3A2C3E7C" w14:textId="71319D72">
      <w:pPr>
        <w:pStyle w:val="BrowneBulletLevel1"/>
        <w:tabs>
          <w:tab w:val="clear" w:pos="227"/>
          <w:tab w:val="num" w:pos="630"/>
        </w:tabs>
        <w:ind w:left="810"/>
        <w:rPr>
          <w:rFonts w:asciiTheme="minorHAnsi" w:hAnsiTheme="minorHAnsi" w:cstheme="minorHAnsi"/>
        </w:rPr>
      </w:pPr>
      <w:r w:rsidRPr="00FF61B4">
        <w:rPr>
          <w:rFonts w:asciiTheme="minorHAnsi" w:hAnsiTheme="minorHAnsi" w:cstheme="minorHAnsi"/>
        </w:rPr>
        <w:t xml:space="preserve">The </w:t>
      </w:r>
      <w:r w:rsidRPr="00FF61B4" w:rsidR="00AF35E9">
        <w:rPr>
          <w:rFonts w:asciiTheme="minorHAnsi" w:hAnsiTheme="minorHAnsi" w:cstheme="minorHAnsi"/>
        </w:rPr>
        <w:t>school</w:t>
      </w:r>
      <w:r w:rsidRPr="00FF61B4" w:rsidR="00D839C9">
        <w:rPr>
          <w:rFonts w:asciiTheme="minorHAnsi" w:hAnsiTheme="minorHAnsi" w:cstheme="minorHAnsi"/>
        </w:rPr>
        <w:t xml:space="preserve"> will appoint a </w:t>
      </w:r>
      <w:r w:rsidRPr="00FF61B4">
        <w:rPr>
          <w:rFonts w:asciiTheme="minorHAnsi" w:hAnsiTheme="minorHAnsi" w:cstheme="minorHAnsi"/>
        </w:rPr>
        <w:t>member of the local committee</w:t>
      </w:r>
      <w:r w:rsidRPr="00FF61B4" w:rsidR="00D839C9">
        <w:rPr>
          <w:rFonts w:asciiTheme="minorHAnsi" w:hAnsiTheme="minorHAnsi" w:cstheme="minorHAnsi"/>
        </w:rPr>
        <w:t xml:space="preserve"> with responsibility for SEN. The SEN </w:t>
      </w:r>
      <w:r w:rsidRPr="00FF61B4">
        <w:rPr>
          <w:rFonts w:asciiTheme="minorHAnsi" w:hAnsiTheme="minorHAnsi" w:cstheme="minorHAnsi"/>
        </w:rPr>
        <w:t>LC member</w:t>
      </w:r>
      <w:r w:rsidRPr="00FF61B4" w:rsidR="000C3395">
        <w:rPr>
          <w:rFonts w:asciiTheme="minorHAnsi" w:hAnsiTheme="minorHAnsi" w:cstheme="minorHAnsi"/>
        </w:rPr>
        <w:t xml:space="preserve"> </w:t>
      </w:r>
      <w:r w:rsidRPr="00FF61B4" w:rsidR="00D839C9">
        <w:rPr>
          <w:rFonts w:asciiTheme="minorHAnsi" w:hAnsiTheme="minorHAnsi" w:cstheme="minorHAnsi"/>
        </w:rPr>
        <w:t xml:space="preserve">will raise SEN issues at </w:t>
      </w:r>
      <w:r w:rsidRPr="00FF61B4">
        <w:rPr>
          <w:rFonts w:asciiTheme="minorHAnsi" w:hAnsiTheme="minorHAnsi" w:cstheme="minorHAnsi"/>
        </w:rPr>
        <w:t>local committee</w:t>
      </w:r>
      <w:r w:rsidRPr="00FF61B4" w:rsidR="00D839C9">
        <w:rPr>
          <w:rFonts w:asciiTheme="minorHAnsi" w:hAnsiTheme="minorHAnsi" w:cstheme="minorHAnsi"/>
        </w:rPr>
        <w:t xml:space="preserve"> meetings; monitor the quality and effectiveness of SEN provision within the </w:t>
      </w:r>
      <w:r w:rsidRPr="00FF61B4" w:rsidR="00AF35E9">
        <w:rPr>
          <w:rFonts w:asciiTheme="minorHAnsi" w:hAnsiTheme="minorHAnsi" w:cstheme="minorHAnsi"/>
        </w:rPr>
        <w:t>school</w:t>
      </w:r>
      <w:r w:rsidRPr="00FF61B4" w:rsidR="00D839C9">
        <w:rPr>
          <w:rFonts w:asciiTheme="minorHAnsi" w:hAnsiTheme="minorHAnsi" w:cstheme="minorHAnsi"/>
        </w:rPr>
        <w:t xml:space="preserve"> and work with designated senior leaders to develop the SEN</w:t>
      </w:r>
      <w:r w:rsidRPr="00FF61B4" w:rsidR="0028343E">
        <w:rPr>
          <w:rFonts w:asciiTheme="minorHAnsi" w:hAnsiTheme="minorHAnsi" w:cstheme="minorHAnsi"/>
        </w:rPr>
        <w:t>D</w:t>
      </w:r>
      <w:r w:rsidRPr="00FF61B4" w:rsidR="00D839C9">
        <w:rPr>
          <w:rFonts w:asciiTheme="minorHAnsi" w:hAnsiTheme="minorHAnsi" w:cstheme="minorHAnsi"/>
        </w:rPr>
        <w:t xml:space="preserve"> policy and provision.</w:t>
      </w:r>
    </w:p>
    <w:p w:rsidRPr="00993148" w:rsidR="00F47578" w:rsidP="00F10035" w:rsidRDefault="00D839C9" w14:paraId="4E65F21D" w14:textId="226E5A99">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lastRenderedPageBreak/>
        <w:t xml:space="preserve">The </w:t>
      </w:r>
      <w:r w:rsidR="00587364">
        <w:rPr>
          <w:rFonts w:asciiTheme="minorHAnsi" w:hAnsiTheme="minorHAnsi" w:cstheme="minorHAnsi"/>
        </w:rPr>
        <w:t xml:space="preserve">headteacher </w:t>
      </w:r>
      <w:r w:rsidRPr="00993148">
        <w:rPr>
          <w:rFonts w:asciiTheme="minorHAnsi" w:hAnsiTheme="minorHAnsi" w:cstheme="minorHAnsi"/>
        </w:rPr>
        <w:t xml:space="preserve">will work with the SENCO to develop the SEN policy and provision within the school.  The </w:t>
      </w:r>
      <w:r w:rsidR="00FF61B4">
        <w:rPr>
          <w:rFonts w:asciiTheme="minorHAnsi" w:hAnsiTheme="minorHAnsi" w:cstheme="minorHAnsi"/>
        </w:rPr>
        <w:t xml:space="preserve">headteacher </w:t>
      </w:r>
      <w:r w:rsidRPr="00993148">
        <w:rPr>
          <w:rFonts w:asciiTheme="minorHAnsi" w:hAnsiTheme="minorHAnsi" w:cstheme="minorHAnsi"/>
        </w:rPr>
        <w:t>has overall responsibility for the provision and progress of learners with SEND.</w:t>
      </w:r>
    </w:p>
    <w:p w:rsidRPr="00993148" w:rsidR="00F47578" w:rsidP="00F10035" w:rsidRDefault="00D839C9" w14:paraId="38061EEC" w14:textId="61EA2BC3">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The SENCO will co-ordinate the </w:t>
      </w:r>
      <w:r w:rsidR="00AF35E9">
        <w:rPr>
          <w:rFonts w:asciiTheme="minorHAnsi" w:hAnsiTheme="minorHAnsi" w:cstheme="minorHAnsi"/>
        </w:rPr>
        <w:t>school</w:t>
      </w:r>
      <w:r w:rsidRPr="00993148" w:rsidR="00B205BD">
        <w:rPr>
          <w:rFonts w:asciiTheme="minorHAnsi" w:hAnsiTheme="minorHAnsi" w:cstheme="minorHAnsi"/>
        </w:rPr>
        <w:t>’s</w:t>
      </w:r>
      <w:r w:rsidRPr="00993148">
        <w:rPr>
          <w:rFonts w:asciiTheme="minorHAnsi" w:hAnsiTheme="minorHAnsi" w:cstheme="minorHAnsi"/>
        </w:rPr>
        <w:t xml:space="preserve"> approach to SEND provision and will undertake those duties set out in chapter 6 of the SEND Code of Practice 2015.</w:t>
      </w:r>
    </w:p>
    <w:p w:rsidRPr="00993148" w:rsidR="00F47578" w:rsidP="78D4287C" w:rsidRDefault="00D839C9" w14:paraId="5DDD1C26" w14:textId="5891ADFF">
      <w:pPr>
        <w:pStyle w:val="BrowneBulletLevel1"/>
        <w:tabs>
          <w:tab w:val="clear" w:pos="227"/>
          <w:tab w:val="num" w:pos="630"/>
        </w:tabs>
        <w:ind w:left="810"/>
        <w:rPr>
          <w:rFonts w:ascii="Calibri" w:hAnsi="Calibri" w:cs="Calibri" w:asciiTheme="minorAscii" w:hAnsiTheme="minorAscii" w:cstheme="minorAscii"/>
        </w:rPr>
      </w:pPr>
      <w:r w:rsidRPr="78D4287C" w:rsidR="00D839C9">
        <w:rPr>
          <w:rFonts w:ascii="Calibri" w:hAnsi="Calibri" w:cs="Calibri" w:asciiTheme="minorAscii" w:hAnsiTheme="minorAscii" w:cstheme="minorAscii"/>
        </w:rPr>
        <w:t xml:space="preserve">Class teachers </w:t>
      </w:r>
      <w:r w:rsidRPr="78D4287C" w:rsidR="00D839C9">
        <w:rPr>
          <w:rFonts w:ascii="Calibri" w:hAnsi="Calibri" w:cs="Calibri" w:asciiTheme="minorAscii" w:hAnsiTheme="minorAscii" w:cstheme="minorAscii"/>
        </w:rPr>
        <w:t>are responsible for</w:t>
      </w:r>
      <w:r w:rsidRPr="78D4287C" w:rsidR="00D839C9">
        <w:rPr>
          <w:rFonts w:ascii="Calibri" w:hAnsi="Calibri" w:cs="Calibri" w:asciiTheme="minorAscii" w:hAnsiTheme="minorAscii" w:cstheme="minorAscii"/>
        </w:rPr>
        <w:t xml:space="preserve"> the progress and development of </w:t>
      </w:r>
      <w:r w:rsidRPr="78D4287C" w:rsidR="00D839C9">
        <w:rPr>
          <w:rFonts w:ascii="Calibri" w:hAnsi="Calibri" w:cs="Calibri" w:asciiTheme="minorAscii" w:hAnsiTheme="minorAscii" w:cstheme="minorAscii"/>
        </w:rPr>
        <w:t xml:space="preserve">every </w:t>
      </w:r>
      <w:r w:rsidRPr="78D4287C" w:rsidR="00AF35E9">
        <w:rPr>
          <w:rFonts w:ascii="Calibri" w:hAnsi="Calibri" w:cs="Calibri" w:asciiTheme="minorAscii" w:hAnsiTheme="minorAscii" w:cstheme="minorAscii"/>
        </w:rPr>
        <w:t>pupil</w:t>
      </w:r>
      <w:r w:rsidRPr="78D4287C" w:rsidR="00D839C9">
        <w:rPr>
          <w:rFonts w:ascii="Calibri" w:hAnsi="Calibri" w:cs="Calibri" w:asciiTheme="minorAscii" w:hAnsiTheme="minorAscii" w:cstheme="minorAscii"/>
        </w:rPr>
        <w:t xml:space="preserve"> in</w:t>
      </w:r>
      <w:r w:rsidRPr="78D4287C" w:rsidR="00D839C9">
        <w:rPr>
          <w:rFonts w:ascii="Calibri" w:hAnsi="Calibri" w:cs="Calibri" w:asciiTheme="minorAscii" w:hAnsiTheme="minorAscii" w:cstheme="minorAscii"/>
        </w:rPr>
        <w:t xml:space="preserve"> their class and will work with the SENCO and </w:t>
      </w:r>
      <w:r w:rsidRPr="78D4287C" w:rsidR="5DFEE5F0">
        <w:rPr>
          <w:rFonts w:ascii="Calibri" w:hAnsi="Calibri" w:cs="Calibri" w:asciiTheme="minorAscii" w:hAnsiTheme="minorAscii" w:cstheme="minorAscii"/>
        </w:rPr>
        <w:t>LSA</w:t>
      </w:r>
      <w:r w:rsidRPr="78D4287C" w:rsidR="00D839C9">
        <w:rPr>
          <w:rFonts w:ascii="Calibri" w:hAnsi="Calibri" w:cs="Calibri" w:asciiTheme="minorAscii" w:hAnsiTheme="minorAscii" w:cstheme="minorAscii"/>
        </w:rPr>
        <w:t>s</w:t>
      </w:r>
      <w:r w:rsidRPr="78D4287C" w:rsidR="237E6217">
        <w:rPr>
          <w:rFonts w:ascii="Calibri" w:hAnsi="Calibri" w:cs="Calibri" w:asciiTheme="minorAscii" w:hAnsiTheme="minorAscii" w:cstheme="minorAscii"/>
        </w:rPr>
        <w:t xml:space="preserve"> (Learning Support Assistants)</w:t>
      </w:r>
      <w:r w:rsidRPr="78D4287C" w:rsidR="00D839C9">
        <w:rPr>
          <w:rFonts w:ascii="Calibri" w:hAnsi="Calibri" w:cs="Calibri" w:asciiTheme="minorAscii" w:hAnsiTheme="minorAscii" w:cstheme="minorAscii"/>
        </w:rPr>
        <w:t xml:space="preserve"> to ensure the “assess plan do review” cycle is appropriately implemented to support any </w:t>
      </w:r>
      <w:r w:rsidRPr="78D4287C" w:rsidR="00AF35E9">
        <w:rPr>
          <w:rFonts w:ascii="Calibri" w:hAnsi="Calibri" w:cs="Calibri" w:asciiTheme="minorAscii" w:hAnsiTheme="minorAscii" w:cstheme="minorAscii"/>
        </w:rPr>
        <w:t>pupil</w:t>
      </w:r>
      <w:r w:rsidRPr="78D4287C" w:rsidR="00B205BD">
        <w:rPr>
          <w:rFonts w:ascii="Calibri" w:hAnsi="Calibri" w:cs="Calibri" w:asciiTheme="minorAscii" w:hAnsiTheme="minorAscii" w:cstheme="minorAscii"/>
        </w:rPr>
        <w:t xml:space="preserve"> </w:t>
      </w:r>
      <w:r w:rsidRPr="78D4287C" w:rsidR="00D839C9">
        <w:rPr>
          <w:rFonts w:ascii="Calibri" w:hAnsi="Calibri" w:cs="Calibri" w:asciiTheme="minorAscii" w:hAnsiTheme="minorAscii" w:cstheme="minorAscii"/>
        </w:rPr>
        <w:t>with SEND.</w:t>
      </w:r>
    </w:p>
    <w:p w:rsidRPr="00993148" w:rsidR="004B1832" w:rsidP="68F902AF" w:rsidRDefault="00D839C9" w14:paraId="1CEA64C1" w14:textId="5854F406">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 xml:space="preserve">The </w:t>
      </w:r>
      <w:r w:rsidRPr="68F902AF" w:rsidR="00AF35E9">
        <w:rPr>
          <w:rFonts w:ascii="Calibri" w:hAnsi="Calibri" w:cs="Calibri" w:asciiTheme="minorAscii" w:hAnsiTheme="minorAscii" w:cstheme="minorAscii"/>
        </w:rPr>
        <w:t>school</w:t>
      </w:r>
      <w:r w:rsidRPr="68F902AF" w:rsidR="00D839C9">
        <w:rPr>
          <w:rFonts w:ascii="Calibri" w:hAnsi="Calibri" w:cs="Calibri" w:asciiTheme="minorAscii" w:hAnsiTheme="minorAscii" w:cstheme="minorAscii"/>
        </w:rPr>
        <w:t xml:space="preserve"> will work in partnership with </w:t>
      </w:r>
      <w:r w:rsidRPr="68F902AF" w:rsidR="00AF35E9">
        <w:rPr>
          <w:rFonts w:ascii="Calibri" w:hAnsi="Calibri" w:cs="Calibri" w:asciiTheme="minorAscii" w:hAnsiTheme="minorAscii" w:cstheme="minorAscii"/>
        </w:rPr>
        <w:t>pupils</w:t>
      </w:r>
      <w:r w:rsidRPr="68F902AF" w:rsidR="00D839C9">
        <w:rPr>
          <w:rFonts w:ascii="Calibri" w:hAnsi="Calibri" w:cs="Calibri" w:asciiTheme="minorAscii" w:hAnsiTheme="minorAscii" w:cstheme="minorAscii"/>
        </w:rPr>
        <w:t xml:space="preserve">, teachers, parents and, where </w:t>
      </w:r>
      <w:r w:rsidRPr="68F902AF" w:rsidR="00D839C9">
        <w:rPr>
          <w:rFonts w:ascii="Calibri" w:hAnsi="Calibri" w:cs="Calibri" w:asciiTheme="minorAscii" w:hAnsiTheme="minorAscii" w:cstheme="minorAscii"/>
        </w:rPr>
        <w:t>appropriate</w:t>
      </w:r>
      <w:r w:rsidRPr="68F902AF" w:rsidR="00D839C9">
        <w:rPr>
          <w:rFonts w:ascii="Calibri" w:hAnsi="Calibri" w:cs="Calibri" w:asciiTheme="minorAscii" w:hAnsiTheme="minorAscii" w:cstheme="minorAscii"/>
        </w:rPr>
        <w:t>, other external agencies to ensure that individual learning needs are addressed within the context of the school curriculum.</w:t>
      </w:r>
    </w:p>
    <w:p w:rsidRPr="00993148" w:rsidR="004B1832" w:rsidP="35ECA4FD" w:rsidRDefault="00D839C9" w14:paraId="07B9705F" w14:textId="5A131F69">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 xml:space="preserve">Parents of </w:t>
      </w:r>
      <w:r w:rsidRPr="68F902AF" w:rsidR="00AF35E9">
        <w:rPr>
          <w:rFonts w:ascii="Calibri" w:hAnsi="Calibri" w:cs="Calibri" w:asciiTheme="minorAscii" w:hAnsiTheme="minorAscii" w:cstheme="minorAscii"/>
        </w:rPr>
        <w:t>pupils</w:t>
      </w:r>
      <w:r w:rsidRPr="68F902AF" w:rsidR="00D839C9">
        <w:rPr>
          <w:rFonts w:ascii="Calibri" w:hAnsi="Calibri" w:cs="Calibri" w:asciiTheme="minorAscii" w:hAnsiTheme="minorAscii" w:cstheme="minorAscii"/>
        </w:rPr>
        <w:t xml:space="preserve"> </w:t>
      </w:r>
      <w:r w:rsidRPr="68F902AF" w:rsidR="0028343E">
        <w:rPr>
          <w:rFonts w:ascii="Calibri" w:hAnsi="Calibri" w:cs="Calibri" w:asciiTheme="minorAscii" w:hAnsiTheme="minorAscii" w:cstheme="minorAscii"/>
        </w:rPr>
        <w:t xml:space="preserve">with SEN </w:t>
      </w:r>
      <w:r w:rsidRPr="68F902AF" w:rsidR="00D839C9">
        <w:rPr>
          <w:rFonts w:ascii="Calibri" w:hAnsi="Calibri" w:cs="Calibri" w:asciiTheme="minorAscii" w:hAnsiTheme="minorAscii" w:cstheme="minorAscii"/>
        </w:rPr>
        <w:t xml:space="preserve">will be able to discuss the needs of their child with their child’s </w:t>
      </w:r>
      <w:r w:rsidRPr="68F902AF" w:rsidR="0851BED2">
        <w:rPr>
          <w:rFonts w:ascii="Calibri" w:hAnsi="Calibri" w:cs="Calibri" w:asciiTheme="minorAscii" w:hAnsiTheme="minorAscii" w:cstheme="minorAscii"/>
        </w:rPr>
        <w:t>class teacher</w:t>
      </w:r>
      <w:r w:rsidRPr="68F902AF" w:rsidR="00D839C9">
        <w:rPr>
          <w:rFonts w:ascii="Calibri" w:hAnsi="Calibri" w:cs="Calibri" w:asciiTheme="minorAscii" w:hAnsiTheme="minorAscii" w:cstheme="minorAscii"/>
        </w:rPr>
        <w:t xml:space="preserve">, </w:t>
      </w:r>
      <w:r w:rsidRPr="68F902AF" w:rsidR="72965A9F">
        <w:rPr>
          <w:rFonts w:ascii="Calibri" w:hAnsi="Calibri" w:cs="Calibri" w:asciiTheme="minorAscii" w:hAnsiTheme="minorAscii" w:cstheme="minorAscii"/>
        </w:rPr>
        <w:t>phase leade</w:t>
      </w:r>
      <w:r w:rsidRPr="68F902AF" w:rsidR="000C3395">
        <w:rPr>
          <w:rFonts w:ascii="Calibri" w:hAnsi="Calibri" w:cs="Calibri" w:asciiTheme="minorAscii" w:hAnsiTheme="minorAscii" w:cstheme="minorAscii"/>
        </w:rPr>
        <w:t>r</w:t>
      </w:r>
      <w:r w:rsidRPr="68F902AF" w:rsidR="000C3395">
        <w:rPr>
          <w:rFonts w:ascii="Calibri" w:hAnsi="Calibri" w:cs="Calibri" w:asciiTheme="minorAscii" w:hAnsiTheme="minorAscii" w:cstheme="minorAscii"/>
        </w:rPr>
        <w:t xml:space="preserve"> </w:t>
      </w:r>
      <w:r w:rsidRPr="68F902AF" w:rsidR="00F47578">
        <w:rPr>
          <w:rFonts w:ascii="Calibri" w:hAnsi="Calibri" w:cs="Calibri" w:asciiTheme="minorAscii" w:hAnsiTheme="minorAscii" w:cstheme="minorAscii"/>
        </w:rPr>
        <w:t xml:space="preserve">or the SENCO. </w:t>
      </w:r>
    </w:p>
    <w:p w:rsidRPr="00993148" w:rsidR="004B1832" w:rsidP="009D42BE" w:rsidRDefault="00D839C9" w14:paraId="7018B39E" w14:textId="7E967020">
      <w:pPr>
        <w:pStyle w:val="BrowneHeadingLevel1"/>
        <w:rPr>
          <w:rFonts w:asciiTheme="minorHAnsi" w:hAnsiTheme="minorHAnsi" w:cstheme="minorHAnsi"/>
        </w:rPr>
      </w:pPr>
      <w:bookmarkStart w:name="_Toc239609844" w:id="3"/>
      <w:r w:rsidRPr="00993148">
        <w:rPr>
          <w:rFonts w:asciiTheme="minorHAnsi" w:hAnsiTheme="minorHAnsi" w:cstheme="minorHAnsi"/>
        </w:rPr>
        <w:t xml:space="preserve">Identification </w:t>
      </w:r>
      <w:r w:rsidR="00587364">
        <w:rPr>
          <w:rFonts w:asciiTheme="minorHAnsi" w:hAnsiTheme="minorHAnsi" w:cstheme="minorHAnsi"/>
        </w:rPr>
        <w:t>and</w:t>
      </w:r>
      <w:r w:rsidRPr="00993148" w:rsidR="00587364">
        <w:rPr>
          <w:rFonts w:asciiTheme="minorHAnsi" w:hAnsiTheme="minorHAnsi" w:cstheme="minorHAnsi"/>
        </w:rPr>
        <w:t xml:space="preserve"> </w:t>
      </w:r>
      <w:r w:rsidRPr="00993148" w:rsidR="000C3395">
        <w:rPr>
          <w:rFonts w:asciiTheme="minorHAnsi" w:hAnsiTheme="minorHAnsi" w:cstheme="minorHAnsi"/>
        </w:rPr>
        <w:t xml:space="preserve">assessment </w:t>
      </w:r>
      <w:r w:rsidRPr="00993148">
        <w:rPr>
          <w:rFonts w:asciiTheme="minorHAnsi" w:hAnsiTheme="minorHAnsi" w:cstheme="minorHAnsi"/>
        </w:rPr>
        <w:t>of SEN</w:t>
      </w:r>
      <w:bookmarkEnd w:id="3"/>
    </w:p>
    <w:p w:rsidR="004B1832" w:rsidP="009D42BE" w:rsidRDefault="00D839C9" w14:paraId="7EAF9CB2" w14:textId="58302A46">
      <w:pPr>
        <w:pStyle w:val="BrowneClauseLevel2"/>
        <w:rPr>
          <w:rFonts w:asciiTheme="minorHAnsi" w:hAnsiTheme="minorHAnsi" w:cstheme="minorHAnsi"/>
        </w:rPr>
      </w:pPr>
      <w:r w:rsidRPr="00993148">
        <w:rPr>
          <w:rFonts w:asciiTheme="minorHAnsi" w:hAnsiTheme="minorHAnsi" w:cstheme="minorHAnsi"/>
        </w:rPr>
        <w:t xml:space="preserve">Information about previous special educational needs will usually accompany </w:t>
      </w:r>
      <w:r w:rsidR="00AF35E9">
        <w:rPr>
          <w:rFonts w:asciiTheme="minorHAnsi" w:hAnsiTheme="minorHAnsi" w:cstheme="minorHAnsi"/>
        </w:rPr>
        <w:t>pupils</w:t>
      </w:r>
      <w:r w:rsidRPr="00993148">
        <w:rPr>
          <w:rFonts w:asciiTheme="minorHAnsi" w:hAnsiTheme="minorHAnsi" w:cstheme="minorHAnsi"/>
        </w:rPr>
        <w:t xml:space="preserve"> upon entry to the</w:t>
      </w:r>
      <w:r w:rsidRPr="00993148" w:rsidR="007A13F7">
        <w:rPr>
          <w:rFonts w:asciiTheme="minorHAnsi" w:hAnsiTheme="minorHAnsi" w:cstheme="minorHAnsi"/>
        </w:rPr>
        <w:t xml:space="preserve"> </w:t>
      </w:r>
      <w:r w:rsidR="00AF35E9">
        <w:rPr>
          <w:rFonts w:asciiTheme="minorHAnsi" w:hAnsiTheme="minorHAnsi" w:cstheme="minorHAnsi"/>
        </w:rPr>
        <w:t>school</w:t>
      </w:r>
      <w:r w:rsidRPr="00993148">
        <w:rPr>
          <w:rFonts w:asciiTheme="minorHAnsi" w:hAnsiTheme="minorHAnsi" w:cstheme="minorHAnsi"/>
        </w:rPr>
        <w:t xml:space="preserve"> and this will be used by the SENCO to make sure appropriate provision is continued. </w:t>
      </w:r>
      <w:r w:rsidRPr="00993148" w:rsidR="009B523C">
        <w:rPr>
          <w:rFonts w:asciiTheme="minorHAnsi" w:hAnsiTheme="minorHAnsi" w:cstheme="minorHAnsi"/>
        </w:rPr>
        <w:t>This information is collated from the transfer of school files from the previous school or early years setting and during transition meetings</w:t>
      </w:r>
      <w:r w:rsidRPr="00993148" w:rsidR="000C3395">
        <w:rPr>
          <w:rFonts w:asciiTheme="minorHAnsi" w:hAnsiTheme="minorHAnsi" w:cstheme="minorHAnsi"/>
        </w:rPr>
        <w:t>,</w:t>
      </w:r>
      <w:r w:rsidRPr="00993148" w:rsidR="009B523C">
        <w:rPr>
          <w:rFonts w:asciiTheme="minorHAnsi" w:hAnsiTheme="minorHAnsi" w:cstheme="minorHAnsi"/>
        </w:rPr>
        <w:t xml:space="preserve"> which are held with all the feeder schools or early years settings, in the summer term, before </w:t>
      </w:r>
      <w:r w:rsidR="00AF35E9">
        <w:rPr>
          <w:rFonts w:asciiTheme="minorHAnsi" w:hAnsiTheme="minorHAnsi" w:cstheme="minorHAnsi"/>
        </w:rPr>
        <w:t>pupils</w:t>
      </w:r>
      <w:r w:rsidRPr="00993148" w:rsidR="009B523C">
        <w:rPr>
          <w:rFonts w:asciiTheme="minorHAnsi" w:hAnsiTheme="minorHAnsi" w:cstheme="minorHAnsi"/>
        </w:rPr>
        <w:t xml:space="preserve"> start at the </w:t>
      </w:r>
      <w:r w:rsidR="00AF35E9">
        <w:rPr>
          <w:rFonts w:asciiTheme="minorHAnsi" w:hAnsiTheme="minorHAnsi" w:cstheme="minorHAnsi"/>
        </w:rPr>
        <w:t>school</w:t>
      </w:r>
      <w:r w:rsidRPr="00993148" w:rsidR="009B523C">
        <w:rPr>
          <w:rFonts w:asciiTheme="minorHAnsi" w:hAnsiTheme="minorHAnsi" w:cstheme="minorHAnsi"/>
        </w:rPr>
        <w:t xml:space="preserve">.  </w:t>
      </w:r>
    </w:p>
    <w:p w:rsidRPr="008E0746" w:rsidR="00536DF2" w:rsidP="008E0746" w:rsidRDefault="00536DF2" w14:paraId="2A696BA9" w14:textId="4C8CF70A">
      <w:pPr>
        <w:pStyle w:val="BrowneClauseLevel2"/>
        <w:rPr>
          <w:rFonts w:asciiTheme="minorHAnsi" w:hAnsiTheme="minorHAnsi" w:cstheme="minorHAnsi"/>
        </w:rPr>
      </w:pPr>
      <w:r w:rsidRPr="008E0746">
        <w:rPr>
          <w:rFonts w:asciiTheme="minorHAnsi" w:hAnsiTheme="minorHAnsi" w:cstheme="minorHAnsi"/>
        </w:rPr>
        <w:t xml:space="preserve">The </w:t>
      </w:r>
      <w:r w:rsidR="008E0746">
        <w:rPr>
          <w:rFonts w:asciiTheme="minorHAnsi" w:hAnsiTheme="minorHAnsi" w:cstheme="minorHAnsi"/>
        </w:rPr>
        <w:t>school</w:t>
      </w:r>
      <w:r w:rsidRPr="008E0746">
        <w:rPr>
          <w:rFonts w:asciiTheme="minorHAnsi" w:hAnsiTheme="minorHAnsi" w:cstheme="minorHAnsi"/>
        </w:rPr>
        <w:t xml:space="preserve"> recognises that transition points can be particularly significant for pupils with SEND. Schools will work closely with pupils, parents/carers, staff, receiving settings and relevant professionals to ensure effective transition arrangements are in place when pupils move between classes, key stages, schools and post-16 provision. Additional transition support will be provided where required to promote continuity of learning, wellbeing and inclusion.</w:t>
      </w:r>
    </w:p>
    <w:p w:rsidRPr="00993148" w:rsidR="004B1832" w:rsidP="007A2A7E" w:rsidRDefault="00D839C9" w14:paraId="321B52E0" w14:textId="0BADC4FC">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is committed to early identification of SEND through comprehensive transition arrangements with feeder settings; baseline assessments on entry; regular progress monitoring; staff training in SEND identification; and parental </w:t>
      </w:r>
      <w:r w:rsidRPr="001E3AB0">
        <w:rPr>
          <w:rFonts w:asciiTheme="minorHAnsi" w:hAnsiTheme="minorHAnsi" w:cstheme="minorHAnsi"/>
        </w:rPr>
        <w:t xml:space="preserve">and </w:t>
      </w:r>
      <w:r w:rsidRPr="001E3AB0" w:rsidR="00AF35E9">
        <w:rPr>
          <w:rFonts w:asciiTheme="minorHAnsi" w:hAnsiTheme="minorHAnsi" w:cstheme="minorHAnsi"/>
        </w:rPr>
        <w:t>pupil</w:t>
      </w:r>
      <w:r w:rsidRPr="001E3AB0">
        <w:rPr>
          <w:rFonts w:asciiTheme="minorHAnsi" w:hAnsiTheme="minorHAnsi" w:cstheme="minorHAnsi"/>
        </w:rPr>
        <w:t xml:space="preserve"> voice</w:t>
      </w:r>
      <w:r w:rsidRPr="00993148">
        <w:rPr>
          <w:rFonts w:asciiTheme="minorHAnsi" w:hAnsiTheme="minorHAnsi" w:cstheme="minorHAnsi"/>
        </w:rPr>
        <w:t xml:space="preserve"> mechanisms.</w:t>
      </w:r>
    </w:p>
    <w:p w:rsidRPr="00993148" w:rsidR="004B1832" w:rsidP="68F902AF" w:rsidRDefault="00D839C9" w14:paraId="5D4718BD" w14:textId="24655E42">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The assessments taken</w:t>
      </w:r>
      <w:r w:rsidRPr="68F902AF" w:rsidR="007A13F7">
        <w:rPr>
          <w:rFonts w:ascii="Calibri" w:hAnsi="Calibri" w:cs="Calibri" w:asciiTheme="minorAscii" w:hAnsiTheme="minorAscii" w:cstheme="minorAscii"/>
        </w:rPr>
        <w:t xml:space="preserve"> by </w:t>
      </w:r>
      <w:r w:rsidRPr="68F902AF" w:rsidR="00AF35E9">
        <w:rPr>
          <w:rFonts w:ascii="Calibri" w:hAnsi="Calibri" w:cs="Calibri" w:asciiTheme="minorAscii" w:hAnsiTheme="minorAscii" w:cstheme="minorAscii"/>
        </w:rPr>
        <w:t>pupils</w:t>
      </w:r>
      <w:r w:rsidRPr="68F902AF" w:rsidR="00EA7E1E">
        <w:rPr>
          <w:rFonts w:ascii="Calibri" w:hAnsi="Calibri" w:cs="Calibri" w:asciiTheme="minorAscii" w:hAnsiTheme="minorAscii" w:cstheme="minorAscii"/>
        </w:rPr>
        <w:t xml:space="preserve"> </w:t>
      </w:r>
      <w:r w:rsidRPr="68F902AF" w:rsidR="007A13F7">
        <w:rPr>
          <w:rFonts w:ascii="Calibri" w:hAnsi="Calibri" w:cs="Calibri" w:asciiTheme="minorAscii" w:hAnsiTheme="minorAscii" w:cstheme="minorAscii"/>
        </w:rPr>
        <w:t xml:space="preserve">upon entry include </w:t>
      </w:r>
      <w:r w:rsidRPr="68F902AF" w:rsidR="00219BD2">
        <w:rPr>
          <w:rFonts w:ascii="Calibri" w:hAnsi="Calibri" w:cs="Calibri" w:asciiTheme="minorAscii" w:hAnsiTheme="minorAscii" w:cstheme="minorAscii"/>
        </w:rPr>
        <w:t xml:space="preserve">Reception Baseline, reading fluency, EAL assessments and others </w:t>
      </w:r>
      <w:r w:rsidRPr="68F902AF" w:rsidR="00219BD2">
        <w:rPr>
          <w:rFonts w:ascii="Calibri" w:hAnsi="Calibri" w:cs="Calibri" w:asciiTheme="minorAscii" w:hAnsiTheme="minorAscii" w:cstheme="minorAscii"/>
        </w:rPr>
        <w:t>deemed</w:t>
      </w:r>
      <w:r w:rsidRPr="68F902AF" w:rsidR="00219BD2">
        <w:rPr>
          <w:rFonts w:ascii="Calibri" w:hAnsi="Calibri" w:cs="Calibri" w:asciiTheme="minorAscii" w:hAnsiTheme="minorAscii" w:cstheme="minorAscii"/>
        </w:rPr>
        <w:t xml:space="preserve"> </w:t>
      </w:r>
      <w:r w:rsidRPr="68F902AF" w:rsidR="00219BD2">
        <w:rPr>
          <w:rFonts w:ascii="Calibri" w:hAnsi="Calibri" w:cs="Calibri" w:asciiTheme="minorAscii" w:hAnsiTheme="minorAscii" w:cstheme="minorAscii"/>
        </w:rPr>
        <w:t>appropriate for</w:t>
      </w:r>
      <w:r w:rsidRPr="68F902AF" w:rsidR="00219BD2">
        <w:rPr>
          <w:rFonts w:ascii="Calibri" w:hAnsi="Calibri" w:cs="Calibri" w:asciiTheme="minorAscii" w:hAnsiTheme="minorAscii" w:cstheme="minorAscii"/>
        </w:rPr>
        <w:t xml:space="preserve"> the child</w:t>
      </w:r>
      <w:r w:rsidRPr="68F902AF" w:rsidR="007A13F7">
        <w:rPr>
          <w:rFonts w:ascii="Calibri" w:hAnsi="Calibri" w:cs="Calibri" w:asciiTheme="minorAscii" w:hAnsiTheme="minorAscii" w:cstheme="minorAscii"/>
        </w:rPr>
        <w:t>.</w:t>
      </w:r>
      <w:r w:rsidRPr="68F902AF" w:rsidR="00D839C9">
        <w:rPr>
          <w:rFonts w:ascii="Calibri" w:hAnsi="Calibri" w:cs="Calibri" w:asciiTheme="minorAscii" w:hAnsiTheme="minorAscii" w:cstheme="minorAscii"/>
        </w:rPr>
        <w:t xml:space="preserve"> </w:t>
      </w:r>
    </w:p>
    <w:p w:rsidRPr="00993148" w:rsidR="009B523C" w:rsidP="009D42BE" w:rsidRDefault="00D839C9" w14:paraId="0B8D01CD" w14:textId="2B359698">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recognises four broad areas of need as defined in the SEND Code of Practice: communication</w:t>
      </w:r>
      <w:r w:rsidRPr="00993148" w:rsidR="000C3395">
        <w:rPr>
          <w:rFonts w:asciiTheme="minorHAnsi" w:hAnsiTheme="minorHAnsi" w:cstheme="minorHAnsi"/>
        </w:rPr>
        <w:t xml:space="preserve"> </w:t>
      </w:r>
      <w:r w:rsidRPr="00993148">
        <w:rPr>
          <w:rFonts w:asciiTheme="minorHAnsi" w:hAnsiTheme="minorHAnsi" w:cstheme="minorHAnsi"/>
        </w:rPr>
        <w:t>and interaction (including autism spectrum conditions); cognition and learning (including specific learning difficulties); social, emotional and mental health difficulties; and sensory and/or physical needs.</w:t>
      </w:r>
    </w:p>
    <w:p w:rsidRPr="00993148" w:rsidR="007A13F7" w:rsidP="68F902AF" w:rsidRDefault="00D839C9" w14:paraId="3B8AC19B" w14:textId="5C808B0F">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 xml:space="preserve">Ongoing identification is also completed alongside the </w:t>
      </w:r>
      <w:r w:rsidRPr="68F902AF" w:rsidR="00AF35E9">
        <w:rPr>
          <w:rFonts w:ascii="Calibri" w:hAnsi="Calibri" w:cs="Calibri" w:asciiTheme="minorAscii" w:hAnsiTheme="minorAscii" w:cstheme="minorAscii"/>
        </w:rPr>
        <w:t>school</w:t>
      </w:r>
      <w:r w:rsidRPr="68F902AF" w:rsidR="00D839C9">
        <w:rPr>
          <w:rFonts w:ascii="Calibri" w:hAnsi="Calibri" w:cs="Calibri" w:asciiTheme="minorAscii" w:hAnsiTheme="minorAscii" w:cstheme="minorAscii"/>
        </w:rPr>
        <w:t xml:space="preserve"> reporting process as data is collected and analysed in all subject areas by </w:t>
      </w:r>
      <w:r w:rsidRPr="68F902AF" w:rsidR="54B53E8E">
        <w:rPr>
          <w:rFonts w:ascii="Calibri" w:hAnsi="Calibri" w:cs="Calibri" w:asciiTheme="minorAscii" w:hAnsiTheme="minorAscii" w:cstheme="minorAscii"/>
        </w:rPr>
        <w:t>class teachers, the assessment lead</w:t>
      </w:r>
      <w:r w:rsidRPr="68F902AF" w:rsidR="74376FB4">
        <w:rPr>
          <w:rFonts w:ascii="Calibri" w:hAnsi="Calibri" w:cs="Calibri" w:asciiTheme="minorAscii" w:hAnsiTheme="minorAscii" w:cstheme="minorAscii"/>
        </w:rPr>
        <w:t>, SENCO</w:t>
      </w:r>
      <w:r w:rsidRPr="68F902AF" w:rsidR="54B53E8E">
        <w:rPr>
          <w:rFonts w:ascii="Calibri" w:hAnsi="Calibri" w:cs="Calibri" w:asciiTheme="minorAscii" w:hAnsiTheme="minorAscii" w:cstheme="minorAscii"/>
        </w:rPr>
        <w:t xml:space="preserve"> and senior leadership team</w:t>
      </w:r>
      <w:r w:rsidRPr="68F902AF" w:rsidR="54B53E8E">
        <w:rPr>
          <w:rFonts w:ascii="Calibri" w:hAnsi="Calibri" w:cs="Calibri" w:asciiTheme="minorAscii" w:hAnsiTheme="minorAscii" w:cstheme="minorAscii"/>
        </w:rPr>
        <w:t>.</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If a </w:t>
      </w:r>
      <w:r w:rsidRPr="68F902AF" w:rsidR="00AF35E9">
        <w:rPr>
          <w:rFonts w:ascii="Calibri" w:hAnsi="Calibri" w:cs="Calibri" w:asciiTheme="minorAscii" w:hAnsiTheme="minorAscii" w:cstheme="minorAscii"/>
        </w:rPr>
        <w:t>pupil</w:t>
      </w:r>
      <w:r w:rsidRPr="68F902AF" w:rsidR="00D839C9">
        <w:rPr>
          <w:rFonts w:ascii="Calibri" w:hAnsi="Calibri" w:cs="Calibri" w:asciiTheme="minorAscii" w:hAnsiTheme="minorAscii" w:cstheme="minorAscii"/>
        </w:rPr>
        <w:t xml:space="preserve"> has not made expected </w:t>
      </w:r>
      <w:r w:rsidRPr="68F902AF" w:rsidR="000C3395">
        <w:rPr>
          <w:rFonts w:ascii="Calibri" w:hAnsi="Calibri" w:cs="Calibri" w:asciiTheme="minorAscii" w:hAnsiTheme="minorAscii" w:cstheme="minorAscii"/>
        </w:rPr>
        <w:t>progress,</w:t>
      </w:r>
      <w:r w:rsidRPr="68F902AF" w:rsidR="00D839C9">
        <w:rPr>
          <w:rFonts w:ascii="Calibri" w:hAnsi="Calibri" w:cs="Calibri" w:asciiTheme="minorAscii" w:hAnsiTheme="minorAscii" w:cstheme="minorAscii"/>
        </w:rPr>
        <w:t xml:space="preserve"> then interventions will be put in place. If a member of staff </w:t>
      </w:r>
      <w:r w:rsidRPr="68F902AF" w:rsidR="00D839C9">
        <w:rPr>
          <w:rFonts w:ascii="Calibri" w:hAnsi="Calibri" w:cs="Calibri" w:asciiTheme="minorAscii" w:hAnsiTheme="minorAscii" w:cstheme="minorAscii"/>
        </w:rPr>
        <w:t>identifies</w:t>
      </w:r>
      <w:r w:rsidRPr="68F902AF" w:rsidR="00D839C9">
        <w:rPr>
          <w:rFonts w:ascii="Calibri" w:hAnsi="Calibri" w:cs="Calibri" w:asciiTheme="minorAscii" w:hAnsiTheme="minorAscii" w:cstheme="minorAscii"/>
        </w:rPr>
        <w:t xml:space="preserve"> a </w:t>
      </w:r>
      <w:r w:rsidRPr="68F902AF" w:rsidR="00AF35E9">
        <w:rPr>
          <w:rFonts w:ascii="Calibri" w:hAnsi="Calibri" w:cs="Calibri" w:asciiTheme="minorAscii" w:hAnsiTheme="minorAscii" w:cstheme="minorAscii"/>
        </w:rPr>
        <w:t>pupil</w:t>
      </w:r>
      <w:r w:rsidRPr="68F902AF" w:rsidR="00D839C9">
        <w:rPr>
          <w:rFonts w:ascii="Calibri" w:hAnsi="Calibri" w:cs="Calibri" w:asciiTheme="minorAscii" w:hAnsiTheme="minorAscii" w:cstheme="minorAscii"/>
        </w:rPr>
        <w:t xml:space="preserve"> whose special educational needs are not met by the normal differentiated programme of study, then the class teacher will work with the </w:t>
      </w:r>
      <w:r w:rsidRPr="68F902AF" w:rsidR="00AF35E9">
        <w:rPr>
          <w:rFonts w:ascii="Calibri" w:hAnsi="Calibri" w:cs="Calibri" w:asciiTheme="minorAscii" w:hAnsiTheme="minorAscii" w:cstheme="minorAscii"/>
        </w:rPr>
        <w:t>pupil</w:t>
      </w:r>
      <w:r w:rsidRPr="68F902AF" w:rsidR="00D839C9">
        <w:rPr>
          <w:rFonts w:ascii="Calibri" w:hAnsi="Calibri" w:cs="Calibri" w:asciiTheme="minorAscii" w:hAnsiTheme="minorAscii" w:cstheme="minorAscii"/>
        </w:rPr>
        <w:t xml:space="preserve"> setting clear targets and providing </w:t>
      </w:r>
      <w:r w:rsidRPr="68F902AF" w:rsidR="005C7B78">
        <w:rPr>
          <w:rFonts w:ascii="Calibri" w:hAnsi="Calibri" w:cs="Calibri" w:asciiTheme="minorAscii" w:hAnsiTheme="minorAscii" w:cstheme="minorAscii"/>
        </w:rPr>
        <w:t>reasonable adjustments and adaptations</w:t>
      </w:r>
      <w:r w:rsidRPr="68F902AF" w:rsidR="001D3E6C">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If the situation improves then no further action is needed. If there is no improvement the SENCO will be informed</w:t>
      </w:r>
      <w:r w:rsidRPr="68F902AF" w:rsidR="00D839C9">
        <w:rPr>
          <w:rFonts w:ascii="Calibri" w:hAnsi="Calibri" w:cs="Calibri" w:asciiTheme="minorAscii" w:hAnsiTheme="minorAscii" w:cstheme="minorAscii"/>
        </w:rPr>
        <w:t xml:space="preserve">.  </w:t>
      </w:r>
    </w:p>
    <w:p w:rsidRPr="00993148" w:rsidR="004B1832" w:rsidP="009D42BE" w:rsidRDefault="00D839C9" w14:paraId="5532309F" w14:textId="4BAC29B8">
      <w:pPr>
        <w:pStyle w:val="BrowneClauseLevel2"/>
        <w:rPr>
          <w:rFonts w:asciiTheme="minorHAnsi" w:hAnsiTheme="minorHAnsi" w:cstheme="minorHAnsi"/>
        </w:rPr>
      </w:pPr>
      <w:r w:rsidRPr="00993148">
        <w:rPr>
          <w:rFonts w:asciiTheme="minorHAnsi" w:hAnsiTheme="minorHAnsi" w:cstheme="minorHAnsi"/>
        </w:rPr>
        <w:t>At this point information will be gathered. The class</w:t>
      </w:r>
      <w:r w:rsidRPr="00993148" w:rsidR="007A13F7">
        <w:rPr>
          <w:rFonts w:asciiTheme="minorHAnsi" w:hAnsiTheme="minorHAnsi" w:cstheme="minorHAnsi"/>
        </w:rPr>
        <w:t xml:space="preserve"> </w:t>
      </w:r>
      <w:r w:rsidRPr="00993148">
        <w:rPr>
          <w:rFonts w:asciiTheme="minorHAnsi" w:hAnsiTheme="minorHAnsi" w:cstheme="minorHAnsi"/>
        </w:rPr>
        <w:t>teacher will inform the parents about the issue and there will be consultation and discussion around the</w:t>
      </w:r>
      <w:r w:rsidRPr="00993148" w:rsidR="007A13F7">
        <w:rPr>
          <w:rFonts w:asciiTheme="minorHAnsi" w:hAnsiTheme="minorHAnsi" w:cstheme="minorHAnsi"/>
        </w:rPr>
        <w:t xml:space="preserve"> </w:t>
      </w:r>
      <w:r w:rsidRPr="00993148">
        <w:rPr>
          <w:rFonts w:asciiTheme="minorHAnsi" w:hAnsiTheme="minorHAnsi" w:cstheme="minorHAnsi"/>
        </w:rPr>
        <w:t xml:space="preserve">proposed additional support for the </w:t>
      </w:r>
      <w:r w:rsidR="00AF35E9">
        <w:rPr>
          <w:rFonts w:asciiTheme="minorHAnsi" w:hAnsiTheme="minorHAnsi" w:cstheme="minorHAnsi"/>
        </w:rPr>
        <w:t>pupil</w:t>
      </w:r>
      <w:r w:rsidRPr="00993148">
        <w:rPr>
          <w:rFonts w:asciiTheme="minorHAnsi" w:hAnsiTheme="minorHAnsi" w:cstheme="minorHAnsi"/>
        </w:rPr>
        <w:t xml:space="preserve">. Parents, and the </w:t>
      </w:r>
      <w:r w:rsidR="00AF35E9">
        <w:rPr>
          <w:rFonts w:asciiTheme="minorHAnsi" w:hAnsiTheme="minorHAnsi" w:cstheme="minorHAnsi"/>
        </w:rPr>
        <w:t>pupil</w:t>
      </w:r>
      <w:r w:rsidRPr="00993148">
        <w:rPr>
          <w:rFonts w:asciiTheme="minorHAnsi" w:hAnsiTheme="minorHAnsi" w:cstheme="minorHAnsi"/>
        </w:rPr>
        <w:t xml:space="preserve"> where appropriate, will be</w:t>
      </w:r>
      <w:r w:rsidRPr="00993148" w:rsidR="007A13F7">
        <w:rPr>
          <w:rFonts w:asciiTheme="minorHAnsi" w:hAnsiTheme="minorHAnsi" w:cstheme="minorHAnsi"/>
        </w:rPr>
        <w:t xml:space="preserve"> </w:t>
      </w:r>
      <w:r w:rsidRPr="00993148">
        <w:rPr>
          <w:rFonts w:asciiTheme="minorHAnsi" w:hAnsiTheme="minorHAnsi" w:cstheme="minorHAnsi"/>
        </w:rPr>
        <w:t>involved in sharing information and agreeing outcomes. It will be decided whether it is appropriate to</w:t>
      </w:r>
      <w:r w:rsidRPr="00993148" w:rsidR="007A13F7">
        <w:rPr>
          <w:rFonts w:asciiTheme="minorHAnsi" w:hAnsiTheme="minorHAnsi" w:cstheme="minorHAnsi"/>
        </w:rPr>
        <w:t xml:space="preserve"> </w:t>
      </w:r>
      <w:r w:rsidRPr="00993148">
        <w:rPr>
          <w:rFonts w:asciiTheme="minorHAnsi" w:hAnsiTheme="minorHAnsi" w:cstheme="minorHAnsi"/>
        </w:rPr>
        <w:t xml:space="preserve">further monitor the </w:t>
      </w:r>
      <w:r w:rsidR="00AF35E9">
        <w:rPr>
          <w:rFonts w:asciiTheme="minorHAnsi" w:hAnsiTheme="minorHAnsi" w:cstheme="minorHAnsi"/>
        </w:rPr>
        <w:t>pupil</w:t>
      </w:r>
      <w:r w:rsidRPr="00993148">
        <w:rPr>
          <w:rFonts w:asciiTheme="minorHAnsi" w:hAnsiTheme="minorHAnsi" w:cstheme="minorHAnsi"/>
        </w:rPr>
        <w:t>. A strategy will be drawn up by the SEN team with copies shared with</w:t>
      </w:r>
      <w:r w:rsidRPr="00993148" w:rsidR="007A13F7">
        <w:rPr>
          <w:rFonts w:asciiTheme="minorHAnsi" w:hAnsiTheme="minorHAnsi" w:cstheme="minorHAnsi"/>
        </w:rPr>
        <w:t xml:space="preserve"> </w:t>
      </w:r>
      <w:r w:rsidRPr="00993148">
        <w:rPr>
          <w:rFonts w:asciiTheme="minorHAnsi" w:hAnsiTheme="minorHAnsi" w:cstheme="minorHAnsi"/>
        </w:rPr>
        <w:t xml:space="preserve">all staff concerned with the </w:t>
      </w:r>
      <w:r w:rsidR="00AF35E9">
        <w:rPr>
          <w:rFonts w:asciiTheme="minorHAnsi" w:hAnsiTheme="minorHAnsi" w:cstheme="minorHAnsi"/>
        </w:rPr>
        <w:t>pupil</w:t>
      </w:r>
      <w:r w:rsidRPr="00993148">
        <w:rPr>
          <w:rFonts w:asciiTheme="minorHAnsi" w:hAnsiTheme="minorHAnsi" w:cstheme="minorHAnsi"/>
        </w:rPr>
        <w:t xml:space="preserve">’s progress. </w:t>
      </w:r>
    </w:p>
    <w:p w:rsidRPr="00993148" w:rsidR="007A13F7" w:rsidP="009D42BE" w:rsidRDefault="00D839C9" w14:paraId="01803163" w14:textId="3E95375F">
      <w:pPr>
        <w:pStyle w:val="BrowneClauseLevel2"/>
        <w:rPr>
          <w:rFonts w:asciiTheme="minorHAnsi" w:hAnsiTheme="minorHAnsi" w:cstheme="minorHAnsi"/>
        </w:rPr>
      </w:pPr>
      <w:r w:rsidRPr="00993148">
        <w:rPr>
          <w:rFonts w:asciiTheme="minorHAnsi" w:hAnsiTheme="minorHAnsi" w:cstheme="minorHAnsi"/>
        </w:rPr>
        <w:t xml:space="preserve">If a parent/carer refers their child to the </w:t>
      </w:r>
      <w:r w:rsidR="00AF35E9">
        <w:rPr>
          <w:rFonts w:asciiTheme="minorHAnsi" w:hAnsiTheme="minorHAnsi" w:cstheme="minorHAnsi"/>
        </w:rPr>
        <w:t>school</w:t>
      </w:r>
      <w:r w:rsidRPr="00993148">
        <w:rPr>
          <w:rFonts w:asciiTheme="minorHAnsi" w:hAnsiTheme="minorHAnsi" w:cstheme="minorHAnsi"/>
        </w:rPr>
        <w:t xml:space="preserve"> as they believe their child has special educational </w:t>
      </w:r>
      <w:r w:rsidRPr="00993148" w:rsidR="000C3395">
        <w:rPr>
          <w:rFonts w:asciiTheme="minorHAnsi" w:hAnsiTheme="minorHAnsi" w:cstheme="minorHAnsi"/>
        </w:rPr>
        <w:t>needs,</w:t>
      </w:r>
      <w:r w:rsidRPr="00993148">
        <w:rPr>
          <w:rFonts w:asciiTheme="minorHAnsi" w:hAnsiTheme="minorHAnsi" w:cstheme="minorHAnsi"/>
        </w:rPr>
        <w:t xml:space="preserve"> they should contact the SENCO, who will undertake investigations and appropriate assessments (with input from the relevant teachers) to see if they are achieving expected levels of progress. If the </w:t>
      </w:r>
      <w:r w:rsidR="00AF35E9">
        <w:rPr>
          <w:rFonts w:asciiTheme="minorHAnsi" w:hAnsiTheme="minorHAnsi" w:cstheme="minorHAnsi"/>
        </w:rPr>
        <w:t>pupil</w:t>
      </w:r>
      <w:r w:rsidRPr="00993148">
        <w:rPr>
          <w:rFonts w:asciiTheme="minorHAnsi" w:hAnsiTheme="minorHAnsi" w:cstheme="minorHAnsi"/>
        </w:rPr>
        <w:t xml:space="preserve"> is not making appropriate levels of </w:t>
      </w:r>
      <w:r w:rsidRPr="00993148" w:rsidR="000C3395">
        <w:rPr>
          <w:rFonts w:asciiTheme="minorHAnsi" w:hAnsiTheme="minorHAnsi" w:cstheme="minorHAnsi"/>
        </w:rPr>
        <w:t>progress,</w:t>
      </w:r>
      <w:r w:rsidRPr="00993148">
        <w:rPr>
          <w:rFonts w:asciiTheme="minorHAnsi" w:hAnsiTheme="minorHAnsi" w:cstheme="minorHAnsi"/>
        </w:rPr>
        <w:t xml:space="preserve"> then internal support will be implemented in accordance with </w:t>
      </w:r>
      <w:r w:rsidRPr="00993148" w:rsidR="00EA7E1E">
        <w:rPr>
          <w:rFonts w:asciiTheme="minorHAnsi" w:hAnsiTheme="minorHAnsi" w:cstheme="minorHAnsi"/>
        </w:rPr>
        <w:t xml:space="preserve">the </w:t>
      </w:r>
      <w:r w:rsidRPr="00993148">
        <w:rPr>
          <w:rFonts w:asciiTheme="minorHAnsi" w:hAnsiTheme="minorHAnsi" w:cstheme="minorHAnsi"/>
        </w:rPr>
        <w:t xml:space="preserve">paragraphs above.  </w:t>
      </w:r>
    </w:p>
    <w:p w:rsidRPr="00993148" w:rsidR="004B1832" w:rsidP="009D42BE" w:rsidRDefault="00D839C9" w14:paraId="2DF34C7A" w14:textId="753858B3">
      <w:pPr>
        <w:pStyle w:val="BrowneClauseLevel2"/>
        <w:rPr>
          <w:rFonts w:asciiTheme="minorHAnsi" w:hAnsiTheme="minorHAnsi" w:cstheme="minorHAnsi"/>
        </w:rPr>
      </w:pPr>
      <w:r w:rsidRPr="00993148">
        <w:rPr>
          <w:rFonts w:asciiTheme="minorHAnsi" w:hAnsiTheme="minorHAnsi" w:cstheme="minorHAnsi"/>
        </w:rPr>
        <w:t xml:space="preserve">In all cases, where internal support is not effective in supporting the </w:t>
      </w:r>
      <w:r w:rsidR="00AF35E9">
        <w:rPr>
          <w:rFonts w:asciiTheme="minorHAnsi" w:hAnsiTheme="minorHAnsi" w:cstheme="minorHAnsi"/>
        </w:rPr>
        <w:t>pupil</w:t>
      </w:r>
      <w:r w:rsidRPr="00993148">
        <w:rPr>
          <w:rFonts w:asciiTheme="minorHAnsi" w:hAnsiTheme="minorHAnsi" w:cstheme="minorHAnsi"/>
        </w:rPr>
        <w:t xml:space="preserve">, a referral to </w:t>
      </w:r>
      <w:r w:rsidRPr="00993148" w:rsidR="005538BA">
        <w:rPr>
          <w:rFonts w:asciiTheme="minorHAnsi" w:hAnsiTheme="minorHAnsi" w:cstheme="minorHAnsi"/>
        </w:rPr>
        <w:t>a</w:t>
      </w:r>
      <w:r w:rsidRPr="00993148">
        <w:rPr>
          <w:rFonts w:asciiTheme="minorHAnsi" w:hAnsiTheme="minorHAnsi" w:cstheme="minorHAnsi"/>
        </w:rPr>
        <w:t xml:space="preserve"> relevant specialist </w:t>
      </w:r>
      <w:r w:rsidRPr="00993148" w:rsidR="005538BA">
        <w:rPr>
          <w:rFonts w:asciiTheme="minorHAnsi" w:hAnsiTheme="minorHAnsi" w:cstheme="minorHAnsi"/>
        </w:rPr>
        <w:t xml:space="preserve">(e.g. </w:t>
      </w:r>
      <w:r w:rsidR="009376AE">
        <w:rPr>
          <w:rFonts w:asciiTheme="minorHAnsi" w:hAnsiTheme="minorHAnsi" w:cstheme="minorHAnsi"/>
        </w:rPr>
        <w:t xml:space="preserve">speech &amp; language, </w:t>
      </w:r>
      <w:r w:rsidRPr="00993148" w:rsidR="005538BA">
        <w:rPr>
          <w:rFonts w:asciiTheme="minorHAnsi" w:hAnsiTheme="minorHAnsi" w:cstheme="minorHAnsi"/>
        </w:rPr>
        <w:t>educational psychologist</w:t>
      </w:r>
      <w:r w:rsidR="009376AE">
        <w:rPr>
          <w:rFonts w:asciiTheme="minorHAnsi" w:hAnsiTheme="minorHAnsi" w:cstheme="minorHAnsi"/>
        </w:rPr>
        <w:t>, specialist teachers</w:t>
      </w:r>
      <w:r w:rsidRPr="00993148" w:rsidR="005538BA">
        <w:rPr>
          <w:rFonts w:asciiTheme="minorHAnsi" w:hAnsiTheme="minorHAnsi" w:cstheme="minorHAnsi"/>
        </w:rPr>
        <w:t xml:space="preserve">) </w:t>
      </w:r>
      <w:r w:rsidRPr="00993148">
        <w:rPr>
          <w:rFonts w:asciiTheme="minorHAnsi" w:hAnsiTheme="minorHAnsi" w:cstheme="minorHAnsi"/>
        </w:rPr>
        <w:t xml:space="preserve">will be completed with the parents’ </w:t>
      </w:r>
      <w:r w:rsidRPr="00993148" w:rsidR="0059722A">
        <w:rPr>
          <w:rFonts w:asciiTheme="minorHAnsi" w:hAnsiTheme="minorHAnsi" w:cstheme="minorHAnsi"/>
        </w:rPr>
        <w:t xml:space="preserve">knowledge </w:t>
      </w:r>
      <w:r w:rsidRPr="00993148">
        <w:rPr>
          <w:rFonts w:asciiTheme="minorHAnsi" w:hAnsiTheme="minorHAnsi" w:cstheme="minorHAnsi"/>
        </w:rPr>
        <w:t xml:space="preserve">and information and strategies for support shared with all staff. </w:t>
      </w:r>
    </w:p>
    <w:p w:rsidRPr="00993148" w:rsidR="004B1832" w:rsidP="009D42BE" w:rsidRDefault="00D839C9" w14:paraId="69C9AFEC" w14:textId="31FABA69">
      <w:pPr>
        <w:pStyle w:val="BrowneClauseLevel2"/>
        <w:rPr>
          <w:rFonts w:asciiTheme="minorHAnsi" w:hAnsiTheme="minorHAnsi" w:cstheme="minorHAnsi"/>
        </w:rPr>
      </w:pPr>
      <w:r w:rsidRPr="00993148">
        <w:rPr>
          <w:rFonts w:asciiTheme="minorHAnsi" w:hAnsiTheme="minorHAnsi" w:cstheme="minorHAnsi"/>
        </w:rPr>
        <w:t xml:space="preserve">If there are no concerns regarding the </w:t>
      </w:r>
      <w:r w:rsidR="00AF35E9">
        <w:rPr>
          <w:rFonts w:asciiTheme="minorHAnsi" w:hAnsiTheme="minorHAnsi" w:cstheme="minorHAnsi"/>
        </w:rPr>
        <w:t>pupil</w:t>
      </w:r>
      <w:r w:rsidRPr="00993148">
        <w:rPr>
          <w:rFonts w:asciiTheme="minorHAnsi" w:hAnsiTheme="minorHAnsi" w:cstheme="minorHAnsi"/>
        </w:rPr>
        <w:t xml:space="preserve">s’ academic </w:t>
      </w:r>
      <w:r w:rsidRPr="00993148" w:rsidR="000C3395">
        <w:rPr>
          <w:rFonts w:asciiTheme="minorHAnsi" w:hAnsiTheme="minorHAnsi" w:cstheme="minorHAnsi"/>
        </w:rPr>
        <w:t>progress,</w:t>
      </w:r>
      <w:r w:rsidRPr="00993148">
        <w:rPr>
          <w:rFonts w:asciiTheme="minorHAnsi" w:hAnsiTheme="minorHAnsi" w:cstheme="minorHAnsi"/>
        </w:rPr>
        <w:t xml:space="preserve"> then the </w:t>
      </w:r>
      <w:r w:rsidR="00AF35E9">
        <w:rPr>
          <w:rFonts w:asciiTheme="minorHAnsi" w:hAnsiTheme="minorHAnsi" w:cstheme="minorHAnsi"/>
        </w:rPr>
        <w:t>school</w:t>
      </w:r>
      <w:r w:rsidRPr="00993148">
        <w:rPr>
          <w:rFonts w:asciiTheme="minorHAnsi" w:hAnsiTheme="minorHAnsi" w:cstheme="minorHAnsi"/>
        </w:rPr>
        <w:t xml:space="preserve"> will ensure</w:t>
      </w:r>
      <w:r w:rsidRPr="00993148" w:rsidR="007A13F7">
        <w:rPr>
          <w:rFonts w:asciiTheme="minorHAnsi" w:hAnsiTheme="minorHAnsi" w:cstheme="minorHAnsi"/>
        </w:rPr>
        <w:t xml:space="preserve"> </w:t>
      </w:r>
      <w:r w:rsidR="005C7B78">
        <w:rPr>
          <w:rFonts w:asciiTheme="minorHAnsi" w:hAnsiTheme="minorHAnsi" w:cstheme="minorHAnsi"/>
        </w:rPr>
        <w:t>reasonable adjustments and adaptations</w:t>
      </w:r>
      <w:r w:rsidRPr="00993148">
        <w:rPr>
          <w:rFonts w:asciiTheme="minorHAnsi" w:hAnsiTheme="minorHAnsi" w:cstheme="minorHAnsi"/>
        </w:rPr>
        <w:t xml:space="preserve"> continue in the classroom and interventions are put in place if appropriate. </w:t>
      </w:r>
    </w:p>
    <w:p w:rsidRPr="00993148" w:rsidR="004B1832" w:rsidP="009D42BE" w:rsidRDefault="00D839C9" w14:paraId="796EE0A3" w14:textId="786079C6">
      <w:pPr>
        <w:pStyle w:val="BrowneClauseLevel2"/>
        <w:rPr>
          <w:rFonts w:asciiTheme="minorHAnsi" w:hAnsiTheme="minorHAnsi" w:cstheme="minorHAnsi"/>
        </w:rPr>
      </w:pPr>
      <w:r w:rsidRPr="00993148">
        <w:rPr>
          <w:rFonts w:asciiTheme="minorHAnsi" w:hAnsiTheme="minorHAnsi" w:cstheme="minorHAnsi"/>
        </w:rPr>
        <w:t>Contact details for professionals who are able to assess will be provided for parents/carers so they can</w:t>
      </w:r>
      <w:r w:rsidRPr="00993148" w:rsidR="007A13F7">
        <w:rPr>
          <w:rFonts w:asciiTheme="minorHAnsi" w:hAnsiTheme="minorHAnsi" w:cstheme="minorHAnsi"/>
        </w:rPr>
        <w:t xml:space="preserve"> </w:t>
      </w:r>
      <w:r w:rsidRPr="00993148">
        <w:rPr>
          <w:rFonts w:asciiTheme="minorHAnsi" w:hAnsiTheme="minorHAnsi" w:cstheme="minorHAnsi"/>
        </w:rPr>
        <w:t>consider a private assessment. Whenever special educational provision is being made, parents and</w:t>
      </w:r>
      <w:r w:rsidRPr="00993148" w:rsidR="007A13F7">
        <w:rPr>
          <w:rFonts w:asciiTheme="minorHAnsi" w:hAnsiTheme="minorHAnsi" w:cstheme="minorHAnsi"/>
        </w:rPr>
        <w:t xml:space="preserve"> </w:t>
      </w:r>
      <w:r w:rsidRPr="00993148">
        <w:rPr>
          <w:rFonts w:asciiTheme="minorHAnsi" w:hAnsiTheme="minorHAnsi" w:cstheme="minorHAnsi"/>
        </w:rPr>
        <w:t xml:space="preserve">students will be involved in developing and reviewing support plans/strategies. </w:t>
      </w:r>
    </w:p>
    <w:p w:rsidRPr="00993148" w:rsidR="00593051" w:rsidP="68F902AF" w:rsidRDefault="00D839C9" w14:paraId="2DACC4F4" w14:textId="72A2742C">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All staff teaching</w:t>
      </w:r>
      <w:r w:rsidRPr="68F902AF" w:rsidR="003F4E09">
        <w:rPr>
          <w:rFonts w:ascii="Calibri" w:hAnsi="Calibri" w:cs="Calibri" w:asciiTheme="minorAscii" w:hAnsiTheme="minorAscii" w:cstheme="minorAscii"/>
        </w:rPr>
        <w:t xml:space="preserve"> </w:t>
      </w:r>
      <w:r w:rsidRPr="68F902AF" w:rsidR="00AF35E9">
        <w:rPr>
          <w:rFonts w:ascii="Calibri" w:hAnsi="Calibri" w:cs="Calibri" w:asciiTheme="minorAscii" w:hAnsiTheme="minorAscii" w:cstheme="minorAscii"/>
        </w:rPr>
        <w:t>pupils</w:t>
      </w:r>
      <w:r w:rsidRPr="68F902AF" w:rsidR="00D839C9">
        <w:rPr>
          <w:rFonts w:ascii="Calibri" w:hAnsi="Calibri" w:cs="Calibri" w:asciiTheme="minorAscii" w:hAnsiTheme="minorAscii" w:cstheme="minorAscii"/>
        </w:rPr>
        <w:t xml:space="preserve"> on the SEN </w:t>
      </w:r>
      <w:r w:rsidRPr="68F902AF" w:rsidR="003C5BA8">
        <w:rPr>
          <w:rFonts w:ascii="Calibri" w:hAnsi="Calibri" w:cs="Calibri" w:asciiTheme="minorAscii" w:hAnsiTheme="minorAscii" w:cstheme="minorAscii"/>
        </w:rPr>
        <w:t xml:space="preserve">register </w:t>
      </w:r>
      <w:r w:rsidRPr="68F902AF" w:rsidR="00D839C9">
        <w:rPr>
          <w:rFonts w:ascii="Calibri" w:hAnsi="Calibri" w:cs="Calibri" w:asciiTheme="minorAscii" w:hAnsiTheme="minorAscii" w:cstheme="minorAscii"/>
        </w:rPr>
        <w:t xml:space="preserve">will be made aware of the individual needs. </w:t>
      </w:r>
      <w:r w:rsidRPr="68F902AF" w:rsidR="5F0756F7">
        <w:rPr>
          <w:rFonts w:ascii="Calibri" w:hAnsi="Calibri" w:cs="Calibri" w:asciiTheme="minorAscii" w:hAnsiTheme="minorAscii" w:cstheme="minorAscii"/>
        </w:rPr>
        <w:t>The SENCO</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will help teachers when </w:t>
      </w:r>
      <w:r w:rsidRPr="68F902AF" w:rsidR="00D839C9">
        <w:rPr>
          <w:rFonts w:ascii="Calibri" w:hAnsi="Calibri" w:cs="Calibri" w:asciiTheme="minorAscii" w:hAnsiTheme="minorAscii" w:cstheme="minorAscii"/>
        </w:rPr>
        <w:t>required</w:t>
      </w:r>
      <w:r w:rsidRPr="68F902AF" w:rsidR="00D839C9">
        <w:rPr>
          <w:rFonts w:ascii="Calibri" w:hAnsi="Calibri" w:cs="Calibri" w:asciiTheme="minorAscii" w:hAnsiTheme="minorAscii" w:cstheme="minorAscii"/>
        </w:rPr>
        <w:t xml:space="preserve"> to develop techniques to support</w:t>
      </w:r>
      <w:r w:rsidRPr="68F902AF" w:rsidR="007A13F7">
        <w:rPr>
          <w:rFonts w:ascii="Calibri" w:hAnsi="Calibri" w:cs="Calibri" w:asciiTheme="minorAscii" w:hAnsiTheme="minorAscii" w:cstheme="minorAscii"/>
        </w:rPr>
        <w:t xml:space="preserve"> </w:t>
      </w:r>
      <w:r w:rsidRPr="68F902AF" w:rsidR="005C7B78">
        <w:rPr>
          <w:rFonts w:ascii="Calibri" w:hAnsi="Calibri" w:cs="Calibri" w:asciiTheme="minorAscii" w:hAnsiTheme="minorAscii" w:cstheme="minorAscii"/>
        </w:rPr>
        <w:t>reasonable adjustments and adaptations</w:t>
      </w:r>
      <w:r w:rsidRPr="68F902AF" w:rsidR="00D839C9">
        <w:rPr>
          <w:rFonts w:ascii="Calibri" w:hAnsi="Calibri" w:cs="Calibri" w:asciiTheme="minorAscii" w:hAnsiTheme="minorAscii" w:cstheme="minorAscii"/>
        </w:rPr>
        <w:t xml:space="preserve"> and ensure that </w:t>
      </w:r>
      <w:r w:rsidRPr="68F902AF" w:rsidR="00D839C9">
        <w:rPr>
          <w:rFonts w:ascii="Calibri" w:hAnsi="Calibri" w:cs="Calibri" w:asciiTheme="minorAscii" w:hAnsiTheme="minorAscii" w:cstheme="minorAscii"/>
        </w:rPr>
        <w:t>appropriate resources</w:t>
      </w:r>
      <w:r w:rsidRPr="68F902AF" w:rsidR="00D839C9">
        <w:rPr>
          <w:rFonts w:ascii="Calibri" w:hAnsi="Calibri" w:cs="Calibri" w:asciiTheme="minorAscii" w:hAnsiTheme="minorAscii" w:cstheme="minorAscii"/>
        </w:rPr>
        <w:t xml:space="preserve"> are a</w:t>
      </w:r>
      <w:r w:rsidRPr="68F902AF" w:rsidR="007A13F7">
        <w:rPr>
          <w:rFonts w:ascii="Calibri" w:hAnsi="Calibri" w:cs="Calibri" w:asciiTheme="minorAscii" w:hAnsiTheme="minorAscii" w:cstheme="minorAscii"/>
        </w:rPr>
        <w:t xml:space="preserve">vailable as part of the </w:t>
      </w:r>
      <w:r w:rsidRPr="68F902AF" w:rsidR="00AF35E9">
        <w:rPr>
          <w:rFonts w:ascii="Calibri" w:hAnsi="Calibri" w:cs="Calibri" w:asciiTheme="minorAscii" w:hAnsiTheme="minorAscii" w:cstheme="minorAscii"/>
        </w:rPr>
        <w:t>school</w:t>
      </w:r>
      <w:r w:rsidRPr="68F902AF" w:rsidR="003F4E09">
        <w:rPr>
          <w:rFonts w:ascii="Calibri" w:hAnsi="Calibri" w:cs="Calibri" w:asciiTheme="minorAscii" w:hAnsiTheme="minorAscii" w:cstheme="minorAscii"/>
        </w:rPr>
        <w:t>’s</w:t>
      </w:r>
      <w:r w:rsidRPr="68F902AF" w:rsidR="007A13F7">
        <w:rPr>
          <w:rFonts w:ascii="Calibri" w:hAnsi="Calibri" w:cs="Calibri" w:asciiTheme="minorAscii" w:hAnsiTheme="minorAscii" w:cstheme="minorAscii"/>
        </w:rPr>
        <w:t xml:space="preserve"> </w:t>
      </w:r>
      <w:r w:rsidRPr="68F902AF" w:rsidR="00271825">
        <w:rPr>
          <w:rFonts w:ascii="Calibri" w:hAnsi="Calibri" w:cs="Calibri" w:asciiTheme="minorAscii" w:hAnsiTheme="minorAscii" w:cstheme="minorAscii"/>
        </w:rPr>
        <w:t>professional development programme</w:t>
      </w:r>
      <w:r w:rsidRPr="68F902AF" w:rsidR="00D839C9">
        <w:rPr>
          <w:rFonts w:ascii="Calibri" w:hAnsi="Calibri" w:cs="Calibri" w:asciiTheme="minorAscii" w:hAnsiTheme="minorAscii" w:cstheme="minorAscii"/>
        </w:rPr>
        <w:t xml:space="preserve">. </w:t>
      </w:r>
    </w:p>
    <w:p w:rsidRPr="00993148" w:rsidR="0085570A" w:rsidP="0085570A" w:rsidRDefault="0085570A" w14:paraId="7DFA9269" w14:textId="11666043">
      <w:pPr>
        <w:pStyle w:val="BrowneClauseLevel2"/>
        <w:rPr>
          <w:rFonts w:asciiTheme="minorHAnsi" w:hAnsiTheme="minorHAnsi" w:cstheme="minorHAnsi"/>
        </w:rPr>
      </w:pPr>
      <w:r w:rsidRPr="00993148">
        <w:rPr>
          <w:rFonts w:asciiTheme="minorHAnsi" w:hAnsiTheme="minorHAnsi" w:cstheme="minorHAnsi"/>
        </w:rPr>
        <w:t xml:space="preserve">Where </w:t>
      </w:r>
      <w:r w:rsidR="00AF35E9">
        <w:rPr>
          <w:rFonts w:asciiTheme="minorHAnsi" w:hAnsiTheme="minorHAnsi" w:cstheme="minorHAnsi"/>
        </w:rPr>
        <w:t>pupils</w:t>
      </w:r>
      <w:r w:rsidRPr="00993148">
        <w:rPr>
          <w:rFonts w:asciiTheme="minorHAnsi" w:hAnsiTheme="minorHAnsi" w:cstheme="minorHAnsi"/>
        </w:rPr>
        <w:t xml:space="preserve"> move to a different school or institution, the </w:t>
      </w:r>
      <w:r w:rsidR="00AF35E9">
        <w:rPr>
          <w:rFonts w:asciiTheme="minorHAnsi" w:hAnsiTheme="minorHAnsi" w:cstheme="minorHAnsi"/>
        </w:rPr>
        <w:t>school</w:t>
      </w:r>
      <w:r w:rsidRPr="00993148">
        <w:rPr>
          <w:rFonts w:asciiTheme="minorHAnsi" w:hAnsiTheme="minorHAnsi" w:cstheme="minorHAnsi"/>
        </w:rPr>
        <w:t xml:space="preserve"> will ensure that all relevant information regarding their special educational needs is sent to the appropriate authority in a timely manner.</w:t>
      </w:r>
    </w:p>
    <w:p w:rsidRPr="00993148" w:rsidR="004B1832" w:rsidP="009D42BE" w:rsidRDefault="00D839C9" w14:paraId="72EFD6FB" w14:textId="77777777">
      <w:pPr>
        <w:pStyle w:val="BrowneHeadingLevel1"/>
        <w:rPr>
          <w:rFonts w:asciiTheme="minorHAnsi" w:hAnsiTheme="minorHAnsi" w:cstheme="minorHAnsi"/>
        </w:rPr>
      </w:pPr>
      <w:bookmarkStart w:name="_Toc239609845" w:id="4"/>
      <w:r w:rsidRPr="00993148">
        <w:rPr>
          <w:rFonts w:asciiTheme="minorHAnsi" w:hAnsiTheme="minorHAnsi" w:cstheme="minorHAnsi"/>
        </w:rPr>
        <w:t>Reviewing</w:t>
      </w:r>
      <w:bookmarkEnd w:id="4"/>
      <w:r w:rsidRPr="00993148">
        <w:rPr>
          <w:rFonts w:asciiTheme="minorHAnsi" w:hAnsiTheme="minorHAnsi" w:cstheme="minorHAnsi"/>
        </w:rPr>
        <w:t xml:space="preserve"> </w:t>
      </w:r>
    </w:p>
    <w:p w:rsidRPr="00993148" w:rsidR="004B1832" w:rsidP="68F902AF" w:rsidRDefault="00D839C9" w14:paraId="7617438E" w14:textId="2447C248">
      <w:pPr>
        <w:pStyle w:val="BrowneClauseLevel2"/>
        <w:numPr>
          <w:ilvl w:val="0"/>
          <w:numId w:val="0"/>
        </w:numPr>
        <w:rPr>
          <w:rFonts w:ascii="Calibri" w:hAnsi="Calibri" w:cs="Calibri" w:asciiTheme="minorAscii" w:hAnsiTheme="minorAscii" w:cstheme="minorAscii"/>
        </w:rPr>
      </w:pPr>
      <w:r w:rsidRPr="68F902AF" w:rsidR="00D839C9">
        <w:rPr>
          <w:rFonts w:ascii="Calibri" w:hAnsi="Calibri" w:cs="Calibri" w:asciiTheme="minorAscii" w:hAnsiTheme="minorAscii" w:cstheme="minorAscii"/>
        </w:rPr>
        <w:t xml:space="preserve">All </w:t>
      </w:r>
      <w:r w:rsidRPr="68F902AF" w:rsidR="00AF35E9">
        <w:rPr>
          <w:rFonts w:ascii="Calibri" w:hAnsi="Calibri" w:cs="Calibri" w:asciiTheme="minorAscii" w:hAnsiTheme="minorAscii" w:cstheme="minorAscii"/>
        </w:rPr>
        <w:t>pupils</w:t>
      </w:r>
      <w:r w:rsidRPr="68F902AF" w:rsidR="00D839C9">
        <w:rPr>
          <w:rFonts w:ascii="Calibri" w:hAnsi="Calibri" w:cs="Calibri" w:asciiTheme="minorAscii" w:hAnsiTheme="minorAscii" w:cstheme="minorAscii"/>
        </w:rPr>
        <w:t xml:space="preserve"> regardless of needs are set targets. Data collated during the </w:t>
      </w:r>
      <w:r w:rsidRPr="68F902AF" w:rsidR="00AF35E9">
        <w:rPr>
          <w:rFonts w:ascii="Calibri" w:hAnsi="Calibri" w:cs="Calibri" w:asciiTheme="minorAscii" w:hAnsiTheme="minorAscii" w:cstheme="minorAscii"/>
        </w:rPr>
        <w:t>school</w:t>
      </w:r>
      <w:r w:rsidRPr="68F902AF" w:rsidR="00D839C9">
        <w:rPr>
          <w:rFonts w:ascii="Calibri" w:hAnsi="Calibri" w:cs="Calibri" w:asciiTheme="minorAscii" w:hAnsiTheme="minorAscii" w:cstheme="minorAscii"/>
        </w:rPr>
        <w:t xml:space="preserve"> reporting</w:t>
      </w:r>
      <w:r w:rsidRPr="68F902AF" w:rsidR="007A13F7">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process is analysed and strategies are put in place to support </w:t>
      </w:r>
      <w:r w:rsidRPr="68F902AF" w:rsidR="00271825">
        <w:rPr>
          <w:rFonts w:ascii="Calibri" w:hAnsi="Calibri" w:cs="Calibri" w:asciiTheme="minorAscii" w:hAnsiTheme="minorAscii" w:cstheme="minorAscii"/>
        </w:rPr>
        <w:t xml:space="preserve">those who </w:t>
      </w:r>
      <w:r w:rsidRPr="68F902AF" w:rsidR="00D839C9">
        <w:rPr>
          <w:rFonts w:ascii="Calibri" w:hAnsi="Calibri" w:cs="Calibri" w:asciiTheme="minorAscii" w:hAnsiTheme="minorAscii" w:cstheme="minorAscii"/>
        </w:rPr>
        <w:t xml:space="preserve">are not achieving as expected. </w:t>
      </w:r>
      <w:r w:rsidRPr="68F902AF" w:rsidR="00D839C9">
        <w:rPr>
          <w:rFonts w:ascii="Calibri" w:hAnsi="Calibri" w:cs="Calibri" w:asciiTheme="minorAscii" w:hAnsiTheme="minorAscii" w:cstheme="minorAscii"/>
        </w:rPr>
        <w:t>All</w:t>
      </w:r>
      <w:r w:rsidRPr="68F902AF" w:rsidR="007A13F7">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SEN interventions delivered outside the classroom have </w:t>
      </w:r>
      <w:r w:rsidRPr="68F902AF" w:rsidR="00271825">
        <w:rPr>
          <w:rFonts w:ascii="Calibri" w:hAnsi="Calibri" w:cs="Calibri" w:asciiTheme="minorAscii" w:hAnsiTheme="minorAscii" w:cstheme="minorAscii"/>
        </w:rPr>
        <w:t>specific</w:t>
      </w:r>
      <w:r w:rsidRPr="68F902AF" w:rsidR="00D839C9">
        <w:rPr>
          <w:rFonts w:ascii="Calibri" w:hAnsi="Calibri" w:cs="Calibri" w:asciiTheme="minorAscii" w:hAnsiTheme="minorAscii" w:cstheme="minorAscii"/>
        </w:rPr>
        <w:t xml:space="preserve">, </w:t>
      </w:r>
      <w:r w:rsidRPr="68F902AF" w:rsidR="00271825">
        <w:rPr>
          <w:rFonts w:ascii="Calibri" w:hAnsi="Calibri" w:cs="Calibri" w:asciiTheme="minorAscii" w:hAnsiTheme="minorAscii" w:cstheme="minorAscii"/>
        </w:rPr>
        <w:t>measurable</w:t>
      </w:r>
      <w:r w:rsidRPr="68F902AF" w:rsidR="00D839C9">
        <w:rPr>
          <w:rFonts w:ascii="Calibri" w:hAnsi="Calibri" w:cs="Calibri" w:asciiTheme="minorAscii" w:hAnsiTheme="minorAscii" w:cstheme="minorAscii"/>
        </w:rPr>
        <w:t xml:space="preserve">, </w:t>
      </w:r>
      <w:r w:rsidRPr="68F902AF" w:rsidR="00271825">
        <w:rPr>
          <w:rFonts w:ascii="Calibri" w:hAnsi="Calibri" w:cs="Calibri" w:asciiTheme="minorAscii" w:hAnsiTheme="minorAscii" w:cstheme="minorAscii"/>
        </w:rPr>
        <w:t>achievable</w:t>
      </w:r>
      <w:r w:rsidRPr="68F902AF" w:rsidR="004F66D7">
        <w:rPr>
          <w:rFonts w:ascii="Calibri" w:hAnsi="Calibri" w:cs="Calibri" w:asciiTheme="minorAscii" w:hAnsiTheme="minorAscii" w:cstheme="minorAscii"/>
        </w:rPr>
        <w:t xml:space="preserve">, </w:t>
      </w:r>
      <w:r w:rsidRPr="68F902AF" w:rsidR="00271825">
        <w:rPr>
          <w:rFonts w:ascii="Calibri" w:hAnsi="Calibri" w:cs="Calibri" w:asciiTheme="minorAscii" w:hAnsiTheme="minorAscii" w:cstheme="minorAscii"/>
        </w:rPr>
        <w:t>relevant</w:t>
      </w:r>
      <w:r w:rsidRPr="68F902AF" w:rsidR="00271825">
        <w:rPr>
          <w:rFonts w:ascii="Calibri" w:hAnsi="Calibri" w:cs="Calibri" w:asciiTheme="minorAscii" w:hAnsiTheme="minorAscii" w:cstheme="minorAscii"/>
        </w:rPr>
        <w:t xml:space="preserve"> </w:t>
      </w:r>
      <w:r w:rsidRPr="68F902AF" w:rsidR="004F66D7">
        <w:rPr>
          <w:rFonts w:ascii="Calibri" w:hAnsi="Calibri" w:cs="Calibri" w:asciiTheme="minorAscii" w:hAnsiTheme="minorAscii" w:cstheme="minorAscii"/>
        </w:rPr>
        <w:t xml:space="preserve">and </w:t>
      </w:r>
      <w:r w:rsidRPr="68F902AF" w:rsidR="00271825">
        <w:rPr>
          <w:rFonts w:ascii="Calibri" w:hAnsi="Calibri" w:cs="Calibri" w:asciiTheme="minorAscii" w:hAnsiTheme="minorAscii" w:cstheme="minorAscii"/>
        </w:rPr>
        <w:t>time</w:t>
      </w:r>
      <w:r w:rsidRPr="68F902AF" w:rsidR="004F66D7">
        <w:rPr>
          <w:rFonts w:ascii="Calibri" w:hAnsi="Calibri" w:cs="Calibri" w:asciiTheme="minorAscii" w:hAnsiTheme="minorAscii" w:cstheme="minorAscii"/>
        </w:rPr>
        <w:t>-</w:t>
      </w:r>
      <w:r w:rsidRPr="68F902AF" w:rsidR="00271825">
        <w:rPr>
          <w:rFonts w:ascii="Calibri" w:hAnsi="Calibri" w:cs="Calibri" w:asciiTheme="minorAscii" w:hAnsiTheme="minorAscii" w:cstheme="minorAscii"/>
        </w:rPr>
        <w:t xml:space="preserve">bound </w:t>
      </w:r>
      <w:r w:rsidRPr="68F902AF" w:rsidR="004F66D7">
        <w:rPr>
          <w:rFonts w:ascii="Calibri" w:hAnsi="Calibri" w:cs="Calibri" w:asciiTheme="minorAscii" w:hAnsiTheme="minorAscii" w:cstheme="minorAscii"/>
        </w:rPr>
        <w:t>t</w:t>
      </w:r>
      <w:r w:rsidRPr="68F902AF" w:rsidR="00D839C9">
        <w:rPr>
          <w:rFonts w:ascii="Calibri" w:hAnsi="Calibri" w:cs="Calibri" w:asciiTheme="minorAscii" w:hAnsiTheme="minorAscii" w:cstheme="minorAscii"/>
        </w:rPr>
        <w:t>argets</w:t>
      </w:r>
      <w:r w:rsidRPr="68F902AF" w:rsidR="007A13F7">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(SMART) set to ensure that progress is made</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These are recorded using </w:t>
      </w:r>
      <w:r w:rsidRPr="68F902AF" w:rsidR="00AF02CE">
        <w:rPr>
          <w:rFonts w:ascii="Calibri" w:hAnsi="Calibri" w:cs="Calibri" w:asciiTheme="minorAscii" w:hAnsiTheme="minorAscii" w:cstheme="minorAscii"/>
        </w:rPr>
        <w:t xml:space="preserve">SEND </w:t>
      </w:r>
      <w:r w:rsidRPr="68F902AF" w:rsidR="44BA1DB9">
        <w:rPr>
          <w:rFonts w:ascii="Calibri" w:hAnsi="Calibri" w:cs="Calibri" w:asciiTheme="minorAscii" w:hAnsiTheme="minorAscii" w:cstheme="minorAscii"/>
        </w:rPr>
        <w:t>Support</w:t>
      </w:r>
      <w:r w:rsidRPr="68F902AF" w:rsidR="00AF02CE">
        <w:rPr>
          <w:rFonts w:ascii="Calibri" w:hAnsi="Calibri" w:cs="Calibri" w:asciiTheme="minorAscii" w:hAnsiTheme="minorAscii" w:cstheme="minorAscii"/>
        </w:rPr>
        <w:t xml:space="preserve"> Plans </w:t>
      </w:r>
      <w:r w:rsidRPr="68F902AF" w:rsidR="00D839C9">
        <w:rPr>
          <w:rFonts w:ascii="Calibri" w:hAnsi="Calibri" w:cs="Calibri" w:asciiTheme="minorAscii" w:hAnsiTheme="minorAscii" w:cstheme="minorAscii"/>
        </w:rPr>
        <w:t xml:space="preserve">and are </w:t>
      </w:r>
      <w:r w:rsidRPr="68F902AF" w:rsidR="00D839C9">
        <w:rPr>
          <w:rFonts w:ascii="Calibri" w:hAnsi="Calibri" w:cs="Calibri" w:asciiTheme="minorAscii" w:hAnsiTheme="minorAscii" w:cstheme="minorAscii"/>
        </w:rPr>
        <w:t>monitored</w:t>
      </w:r>
      <w:r w:rsidRPr="68F902AF" w:rsidR="00D839C9">
        <w:rPr>
          <w:rFonts w:ascii="Calibri" w:hAnsi="Calibri" w:cs="Calibri" w:asciiTheme="minorAscii" w:hAnsiTheme="minorAscii" w:cstheme="minorAscii"/>
        </w:rPr>
        <w:t xml:space="preserve"> and reviewed against a </w:t>
      </w:r>
      <w:r w:rsidRPr="68F902AF" w:rsidR="00D839C9">
        <w:rPr>
          <w:rFonts w:ascii="Calibri" w:hAnsi="Calibri" w:cs="Calibri" w:asciiTheme="minorAscii" w:hAnsiTheme="minorAscii" w:cstheme="minorAscii"/>
        </w:rPr>
        <w:t>time frame</w:t>
      </w:r>
      <w:r w:rsidRPr="68F902AF" w:rsidR="00D839C9">
        <w:rPr>
          <w:rFonts w:ascii="Calibri" w:hAnsi="Calibri" w:cs="Calibri" w:asciiTheme="minorAscii" w:hAnsiTheme="minorAscii" w:cstheme="minorAscii"/>
        </w:rPr>
        <w:t>, agreed within</w:t>
      </w:r>
      <w:r w:rsidRPr="68F902AF" w:rsidR="008C0406">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the plan</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If expected progress is not </w:t>
      </w:r>
      <w:r w:rsidRPr="68F902AF" w:rsidR="000C3395">
        <w:rPr>
          <w:rFonts w:ascii="Calibri" w:hAnsi="Calibri" w:cs="Calibri" w:asciiTheme="minorAscii" w:hAnsiTheme="minorAscii" w:cstheme="minorAscii"/>
        </w:rPr>
        <w:t>made,</w:t>
      </w:r>
      <w:r w:rsidRPr="68F902AF" w:rsidR="00D839C9">
        <w:rPr>
          <w:rFonts w:ascii="Calibri" w:hAnsi="Calibri" w:cs="Calibri" w:asciiTheme="minorAscii" w:hAnsiTheme="minorAscii" w:cstheme="minorAscii"/>
        </w:rPr>
        <w:t xml:space="preserve"> then the SENCO may refer to a specialist service such as </w:t>
      </w:r>
      <w:r w:rsidRPr="68F902AF" w:rsidR="00AF02CE">
        <w:rPr>
          <w:rFonts w:ascii="Calibri" w:hAnsi="Calibri" w:cs="Calibri" w:asciiTheme="minorAscii" w:hAnsiTheme="minorAscii" w:cstheme="minorAscii"/>
        </w:rPr>
        <w:t xml:space="preserve">speech &amp; language, </w:t>
      </w:r>
      <w:r w:rsidRPr="68F902AF" w:rsidR="00AF02CE">
        <w:rPr>
          <w:rFonts w:ascii="Calibri" w:hAnsi="Calibri" w:cs="Calibri" w:asciiTheme="minorAscii" w:hAnsiTheme="minorAscii" w:cstheme="minorAscii"/>
        </w:rPr>
        <w:t>educational psychologist</w:t>
      </w:r>
      <w:r w:rsidRPr="68F902AF" w:rsidR="00AF02CE">
        <w:rPr>
          <w:rFonts w:ascii="Calibri" w:hAnsi="Calibri" w:cs="Calibri" w:asciiTheme="minorAscii" w:hAnsiTheme="minorAscii" w:cstheme="minorAscii"/>
        </w:rPr>
        <w:t>, specialist teachers</w:t>
      </w:r>
      <w:r w:rsidRPr="68F902AF" w:rsidR="00D839C9">
        <w:rPr>
          <w:rFonts w:ascii="Calibri" w:hAnsi="Calibri" w:cs="Calibri" w:asciiTheme="minorAscii" w:hAnsiTheme="minorAscii" w:cstheme="minorAscii"/>
        </w:rPr>
        <w:t xml:space="preserve">. </w:t>
      </w:r>
    </w:p>
    <w:p w:rsidRPr="00993148" w:rsidR="00FC1483" w:rsidP="009D42BE" w:rsidRDefault="00D839C9" w14:paraId="75879FD6" w14:textId="26EAABB2">
      <w:pPr>
        <w:pStyle w:val="BrowneClauseLevel2"/>
        <w:rPr>
          <w:rFonts w:asciiTheme="minorHAnsi" w:hAnsiTheme="minorHAnsi" w:cstheme="minorHAnsi"/>
        </w:rPr>
      </w:pPr>
      <w:r w:rsidRPr="00993148">
        <w:rPr>
          <w:rFonts w:asciiTheme="minorHAnsi" w:hAnsiTheme="minorHAnsi" w:cstheme="minorHAnsi"/>
        </w:rPr>
        <w:t xml:space="preserve">Where, despite the </w:t>
      </w:r>
      <w:r w:rsidR="00AF35E9">
        <w:rPr>
          <w:rFonts w:asciiTheme="minorHAnsi" w:hAnsiTheme="minorHAnsi" w:cstheme="minorHAnsi"/>
        </w:rPr>
        <w:t>school</w:t>
      </w:r>
      <w:r w:rsidRPr="00993148">
        <w:rPr>
          <w:rFonts w:asciiTheme="minorHAnsi" w:hAnsiTheme="minorHAnsi" w:cstheme="minorHAnsi"/>
        </w:rPr>
        <w:t xml:space="preserve"> having taken relevant and purposeful action, as set out above, to meet </w:t>
      </w:r>
      <w:r w:rsidRPr="00AF02CE">
        <w:rPr>
          <w:rFonts w:asciiTheme="minorHAnsi" w:hAnsiTheme="minorHAnsi" w:cstheme="minorHAnsi"/>
        </w:rPr>
        <w:t xml:space="preserve">the </w:t>
      </w:r>
      <w:r w:rsidRPr="00AF02CE" w:rsidR="00AF02CE">
        <w:rPr>
          <w:rFonts w:asciiTheme="minorHAnsi" w:hAnsiTheme="minorHAnsi" w:cstheme="minorHAnsi"/>
        </w:rPr>
        <w:t>pupil’s</w:t>
      </w:r>
      <w:r w:rsidRPr="00AF02CE">
        <w:rPr>
          <w:rFonts w:asciiTheme="minorHAnsi" w:hAnsiTheme="minorHAnsi" w:cstheme="minorHAnsi"/>
        </w:rPr>
        <w:t xml:space="preserve"> needs</w:t>
      </w:r>
      <w:r w:rsidRPr="00993148">
        <w:rPr>
          <w:rFonts w:asciiTheme="minorHAnsi" w:hAnsiTheme="minorHAnsi" w:cstheme="minorHAnsi"/>
        </w:rPr>
        <w:t xml:space="preserve"> and they have not made expected progress, the </w:t>
      </w:r>
      <w:r w:rsidR="00AF35E9">
        <w:rPr>
          <w:rFonts w:asciiTheme="minorHAnsi" w:hAnsiTheme="minorHAnsi" w:cstheme="minorHAnsi"/>
        </w:rPr>
        <w:t>school</w:t>
      </w:r>
      <w:r w:rsidRPr="00993148">
        <w:rPr>
          <w:rFonts w:asciiTheme="minorHAnsi" w:hAnsiTheme="minorHAnsi" w:cstheme="minorHAnsi"/>
        </w:rPr>
        <w:t xml:space="preserve"> will consider </w:t>
      </w:r>
      <w:r w:rsidR="00AF02CE">
        <w:rPr>
          <w:rFonts w:asciiTheme="minorHAnsi" w:hAnsiTheme="minorHAnsi" w:cstheme="minorHAnsi"/>
        </w:rPr>
        <w:t>r</w:t>
      </w:r>
      <w:r w:rsidRPr="00993148">
        <w:rPr>
          <w:rFonts w:asciiTheme="minorHAnsi" w:hAnsiTheme="minorHAnsi" w:cstheme="minorHAnsi"/>
        </w:rPr>
        <w:t xml:space="preserve">equesting an </w:t>
      </w:r>
      <w:r w:rsidRPr="00993148" w:rsidR="00271825">
        <w:rPr>
          <w:rFonts w:asciiTheme="minorHAnsi" w:hAnsiTheme="minorHAnsi" w:cstheme="minorHAnsi"/>
        </w:rPr>
        <w:t>education</w:t>
      </w:r>
      <w:r w:rsidRPr="00993148">
        <w:rPr>
          <w:rFonts w:asciiTheme="minorHAnsi" w:hAnsiTheme="minorHAnsi" w:cstheme="minorHAnsi"/>
        </w:rPr>
        <w:t xml:space="preserve">, </w:t>
      </w:r>
      <w:r w:rsidRPr="00993148" w:rsidR="00271825">
        <w:rPr>
          <w:rFonts w:asciiTheme="minorHAnsi" w:hAnsiTheme="minorHAnsi" w:cstheme="minorHAnsi"/>
        </w:rPr>
        <w:t xml:space="preserve">health </w:t>
      </w:r>
      <w:r w:rsidRPr="00993148">
        <w:rPr>
          <w:rFonts w:asciiTheme="minorHAnsi" w:hAnsiTheme="minorHAnsi" w:cstheme="minorHAnsi"/>
        </w:rPr>
        <w:t xml:space="preserve">and </w:t>
      </w:r>
      <w:r w:rsidRPr="00993148" w:rsidR="00271825">
        <w:rPr>
          <w:rFonts w:asciiTheme="minorHAnsi" w:hAnsiTheme="minorHAnsi" w:cstheme="minorHAnsi"/>
        </w:rPr>
        <w:t xml:space="preserve">care </w:t>
      </w:r>
      <w:r w:rsidRPr="00993148">
        <w:rPr>
          <w:rFonts w:asciiTheme="minorHAnsi" w:hAnsiTheme="minorHAnsi" w:cstheme="minorHAnsi"/>
        </w:rPr>
        <w:t>needs assessment.</w:t>
      </w:r>
    </w:p>
    <w:p w:rsidR="004B1832" w:rsidP="009D42BE" w:rsidRDefault="00D839C9" w14:paraId="6F0BBB51" w14:textId="29C34ACF">
      <w:pPr>
        <w:pStyle w:val="BrowneClauseLevel2"/>
        <w:rPr>
          <w:rFonts w:asciiTheme="minorHAnsi" w:hAnsiTheme="minorHAnsi" w:cstheme="minorHAnsi"/>
        </w:rPr>
      </w:pPr>
      <w:r w:rsidRPr="00993148">
        <w:rPr>
          <w:rFonts w:asciiTheme="minorHAnsi" w:hAnsiTheme="minorHAnsi" w:cstheme="minorHAnsi"/>
        </w:rPr>
        <w:t xml:space="preserve">If a </w:t>
      </w:r>
      <w:r w:rsidR="00AF35E9">
        <w:rPr>
          <w:rFonts w:asciiTheme="minorHAnsi" w:hAnsiTheme="minorHAnsi" w:cstheme="minorHAnsi"/>
        </w:rPr>
        <w:t>pupil</w:t>
      </w:r>
      <w:r w:rsidRPr="00993148">
        <w:rPr>
          <w:rFonts w:asciiTheme="minorHAnsi" w:hAnsiTheme="minorHAnsi" w:cstheme="minorHAnsi"/>
        </w:rPr>
        <w:t xml:space="preserve"> has an </w:t>
      </w:r>
      <w:r w:rsidRPr="00993148" w:rsidR="00271825">
        <w:rPr>
          <w:rFonts w:asciiTheme="minorHAnsi" w:hAnsiTheme="minorHAnsi" w:cstheme="minorHAnsi"/>
        </w:rPr>
        <w:t xml:space="preserve">education health </w:t>
      </w:r>
      <w:r w:rsidRPr="00993148" w:rsidR="003C5BA8">
        <w:rPr>
          <w:rFonts w:asciiTheme="minorHAnsi" w:hAnsiTheme="minorHAnsi" w:cstheme="minorHAnsi"/>
        </w:rPr>
        <w:t xml:space="preserve">and </w:t>
      </w:r>
      <w:r w:rsidRPr="00993148" w:rsidR="00271825">
        <w:rPr>
          <w:rFonts w:asciiTheme="minorHAnsi" w:hAnsiTheme="minorHAnsi" w:cstheme="minorHAnsi"/>
        </w:rPr>
        <w:t xml:space="preserve">care plan </w:t>
      </w:r>
      <w:r w:rsidRPr="00993148">
        <w:rPr>
          <w:rFonts w:asciiTheme="minorHAnsi" w:hAnsiTheme="minorHAnsi" w:cstheme="minorHAnsi"/>
        </w:rPr>
        <w:t xml:space="preserve">an annual review is held in accordance with legal requirements.   </w:t>
      </w:r>
    </w:p>
    <w:p w:rsidRPr="008E0746" w:rsidR="00A75F64" w:rsidP="00A75F64" w:rsidRDefault="00A75F64" w14:paraId="14ADC8F4" w14:textId="77777777">
      <w:pPr>
        <w:pStyle w:val="BrowneClauseLevel2"/>
        <w:rPr>
          <w:rFonts w:asciiTheme="minorHAnsi" w:hAnsiTheme="minorHAnsi" w:cstheme="minorHAnsi"/>
        </w:rPr>
      </w:pPr>
      <w:r w:rsidRPr="008E0746">
        <w:rPr>
          <w:rFonts w:asciiTheme="minorHAnsi" w:hAnsiTheme="minorHAnsi" w:cstheme="minorHAnsi"/>
        </w:rPr>
        <w:t xml:space="preserve">For pupils with Education, Health and Care Plans (EHCPs), annual reviews from Year 9 onwards will include a Preparing for Adulthood focus </w:t>
      </w:r>
      <w:proofErr w:type="gramStart"/>
      <w:r w:rsidRPr="008E0746">
        <w:rPr>
          <w:rFonts w:asciiTheme="minorHAnsi" w:hAnsiTheme="minorHAnsi" w:cstheme="minorHAnsi"/>
        </w:rPr>
        <w:t>in</w:t>
      </w:r>
      <w:proofErr w:type="gramEnd"/>
      <w:r w:rsidRPr="008E0746">
        <w:rPr>
          <w:rFonts w:asciiTheme="minorHAnsi" w:hAnsiTheme="minorHAnsi" w:cstheme="minorHAnsi"/>
        </w:rPr>
        <w:t xml:space="preserve"> accordance with the SEND Code of Practice. Reviews will consider the young person's aspirations and outcomes in relation to employment, further education and training, independent living, community participation, friendships, health and wellbeing, and will involve relevant agencies where appropriate.</w:t>
      </w:r>
    </w:p>
    <w:p w:rsidRPr="00AF02CE" w:rsidR="008C0406" w:rsidP="68F902AF" w:rsidRDefault="00D839C9" w14:paraId="301E05E4" w14:textId="05A9EEA5">
      <w:pPr>
        <w:pStyle w:val="BrowneClauseLevel2"/>
        <w:numPr>
          <w:ilvl w:val="0"/>
          <w:numId w:val="0"/>
        </w:numPr>
        <w:rPr>
          <w:rFonts w:ascii="Calibri" w:hAnsi="Calibri" w:cs="Calibri" w:asciiTheme="minorAscii" w:hAnsiTheme="minorAscii" w:cstheme="minorAscii"/>
          <w:highlight w:val="yellow"/>
        </w:rPr>
      </w:pPr>
      <w:r w:rsidRPr="68F902AF" w:rsidR="00D839C9">
        <w:rPr>
          <w:rFonts w:ascii="Calibri" w:hAnsi="Calibri" w:cs="Calibri" w:asciiTheme="minorAscii" w:hAnsiTheme="minorAscii" w:cstheme="minorAscii"/>
        </w:rPr>
        <w:t xml:space="preserve">If, </w:t>
      </w:r>
      <w:r w:rsidRPr="68F902AF" w:rsidR="00D839C9">
        <w:rPr>
          <w:rFonts w:ascii="Calibri" w:hAnsi="Calibri" w:cs="Calibri" w:asciiTheme="minorAscii" w:hAnsiTheme="minorAscii" w:cstheme="minorAscii"/>
        </w:rPr>
        <w:t>as a result of</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appropriate progress</w:t>
      </w:r>
      <w:r w:rsidRPr="68F902AF" w:rsidR="00D839C9">
        <w:rPr>
          <w:rFonts w:ascii="Calibri" w:hAnsi="Calibri" w:cs="Calibri" w:asciiTheme="minorAscii" w:hAnsiTheme="minorAscii" w:cstheme="minorAscii"/>
        </w:rPr>
        <w:t xml:space="preserve">, a </w:t>
      </w:r>
      <w:r w:rsidRPr="68F902AF" w:rsidR="00AF35E9">
        <w:rPr>
          <w:rFonts w:ascii="Calibri" w:hAnsi="Calibri" w:cs="Calibri" w:asciiTheme="minorAscii" w:hAnsiTheme="minorAscii" w:cstheme="minorAscii"/>
        </w:rPr>
        <w:t>pupil</w:t>
      </w:r>
      <w:r w:rsidRPr="68F902AF" w:rsidR="00D839C9">
        <w:rPr>
          <w:rFonts w:ascii="Calibri" w:hAnsi="Calibri" w:cs="Calibri" w:asciiTheme="minorAscii" w:hAnsiTheme="minorAscii" w:cstheme="minorAscii"/>
        </w:rPr>
        <w:t xml:space="preserve"> is removed from the SEN re</w:t>
      </w:r>
      <w:r w:rsidRPr="68F902AF" w:rsidR="003C5BA8">
        <w:rPr>
          <w:rFonts w:ascii="Calibri" w:hAnsi="Calibri" w:cs="Calibri" w:asciiTheme="minorAscii" w:hAnsiTheme="minorAscii" w:cstheme="minorAscii"/>
        </w:rPr>
        <w:t>gister</w:t>
      </w:r>
      <w:r w:rsidRPr="68F902AF" w:rsidR="003866C3">
        <w:rPr>
          <w:rFonts w:ascii="Calibri" w:hAnsi="Calibri" w:cs="Calibri" w:asciiTheme="minorAscii" w:hAnsiTheme="minorAscii" w:cstheme="minorAscii"/>
        </w:rPr>
        <w:t>,</w:t>
      </w:r>
      <w:r w:rsidRPr="68F902AF" w:rsidR="00AB02F7">
        <w:rPr>
          <w:rFonts w:ascii="Calibri" w:hAnsi="Calibri" w:cs="Calibri" w:asciiTheme="minorAscii" w:hAnsiTheme="minorAscii" w:cstheme="minorAscii"/>
        </w:rPr>
        <w:t xml:space="preserve"> </w:t>
      </w:r>
      <w:r w:rsidRPr="68F902AF" w:rsidR="003866C3">
        <w:rPr>
          <w:rFonts w:ascii="Calibri" w:hAnsi="Calibri" w:cs="Calibri" w:asciiTheme="minorAscii" w:hAnsiTheme="minorAscii" w:cstheme="minorAscii"/>
        </w:rPr>
        <w:t>t</w:t>
      </w:r>
      <w:r w:rsidRPr="68F902AF" w:rsidR="00D839C9">
        <w:rPr>
          <w:rFonts w:ascii="Calibri" w:hAnsi="Calibri" w:cs="Calibri" w:asciiTheme="minorAscii" w:hAnsiTheme="minorAscii" w:cstheme="minorAscii"/>
        </w:rPr>
        <w:t xml:space="preserve">he </w:t>
      </w:r>
      <w:r w:rsidRPr="68F902AF" w:rsidR="00AF35E9">
        <w:rPr>
          <w:rFonts w:ascii="Calibri" w:hAnsi="Calibri" w:cs="Calibri" w:asciiTheme="minorAscii" w:hAnsiTheme="minorAscii" w:cstheme="minorAscii"/>
        </w:rPr>
        <w:t>pupil</w:t>
      </w:r>
      <w:r w:rsidRPr="68F902AF" w:rsidR="00D839C9">
        <w:rPr>
          <w:rFonts w:ascii="Calibri" w:hAnsi="Calibri" w:cs="Calibri" w:asciiTheme="minorAscii" w:hAnsiTheme="minorAscii" w:cstheme="minorAscii"/>
        </w:rPr>
        <w:t xml:space="preserve"> will continue to be </w:t>
      </w:r>
      <w:r w:rsidRPr="68F902AF" w:rsidR="00D839C9">
        <w:rPr>
          <w:rFonts w:ascii="Calibri" w:hAnsi="Calibri" w:cs="Calibri" w:asciiTheme="minorAscii" w:hAnsiTheme="minorAscii" w:cstheme="minorAscii"/>
        </w:rPr>
        <w:t>monitore</w:t>
      </w:r>
      <w:r w:rsidRPr="68F902AF" w:rsidR="00D839C9">
        <w:rPr>
          <w:rFonts w:ascii="Calibri" w:hAnsi="Calibri" w:cs="Calibri" w:asciiTheme="minorAscii" w:hAnsiTheme="minorAscii" w:cstheme="minorAscii"/>
        </w:rPr>
        <w:t>d</w:t>
      </w:r>
      <w:r w:rsidRPr="68F902AF" w:rsidR="00D839C9">
        <w:rPr>
          <w:rFonts w:ascii="Calibri" w:hAnsi="Calibri" w:cs="Calibri" w:asciiTheme="minorAscii" w:hAnsiTheme="minorAscii" w:cstheme="minorAscii"/>
        </w:rPr>
        <w:t xml:space="preserve"> </w:t>
      </w:r>
      <w:r w:rsidRPr="68F902AF" w:rsidR="00D839C9">
        <w:rPr>
          <w:rFonts w:ascii="Calibri" w:hAnsi="Calibri" w:cs="Calibri" w:asciiTheme="minorAscii" w:hAnsiTheme="minorAscii" w:cstheme="minorAscii"/>
        </w:rPr>
        <w:t xml:space="preserve">through the </w:t>
      </w:r>
      <w:r w:rsidRPr="68F902AF" w:rsidR="00AF35E9">
        <w:rPr>
          <w:rFonts w:ascii="Calibri" w:hAnsi="Calibri" w:cs="Calibri" w:asciiTheme="minorAscii" w:hAnsiTheme="minorAscii" w:cstheme="minorAscii"/>
        </w:rPr>
        <w:t>school</w:t>
      </w:r>
      <w:r w:rsidRPr="68F902AF" w:rsidR="003F4E09">
        <w:rPr>
          <w:rFonts w:ascii="Calibri" w:hAnsi="Calibri" w:cs="Calibri" w:asciiTheme="minorAscii" w:hAnsiTheme="minorAscii" w:cstheme="minorAscii"/>
        </w:rPr>
        <w:t>’s</w:t>
      </w:r>
      <w:r w:rsidRPr="68F902AF" w:rsidR="00D839C9">
        <w:rPr>
          <w:rFonts w:ascii="Calibri" w:hAnsi="Calibri" w:cs="Calibri" w:asciiTheme="minorAscii" w:hAnsiTheme="minorAscii" w:cstheme="minorAscii"/>
        </w:rPr>
        <w:t xml:space="preserve"> structured </w:t>
      </w:r>
      <w:r w:rsidRPr="68F902AF" w:rsidR="7F192A3B">
        <w:rPr>
          <w:rFonts w:ascii="Calibri" w:hAnsi="Calibri" w:cs="Calibri" w:asciiTheme="minorAscii" w:hAnsiTheme="minorAscii" w:cstheme="minorAscii"/>
        </w:rPr>
        <w:t>assessment cycle.</w:t>
      </w:r>
    </w:p>
    <w:p w:rsidRPr="00993148" w:rsidR="004D5AD5" w:rsidP="004D5AD5" w:rsidRDefault="00D839C9" w14:paraId="0AD4D239" w14:textId="74CEF504">
      <w:pPr>
        <w:pStyle w:val="BrowneHeadingLevel1"/>
        <w:rPr>
          <w:rFonts w:asciiTheme="minorHAnsi" w:hAnsiTheme="minorHAnsi" w:cstheme="minorHAnsi"/>
        </w:rPr>
      </w:pPr>
      <w:bookmarkStart w:name="_Toc239609846" w:id="5"/>
      <w:r w:rsidRPr="00993148">
        <w:rPr>
          <w:rFonts w:asciiTheme="minorHAnsi" w:hAnsiTheme="minorHAnsi" w:cstheme="minorHAnsi"/>
        </w:rPr>
        <w:t xml:space="preserve">Complaints and </w:t>
      </w:r>
      <w:r w:rsidRPr="00993148" w:rsidR="00271825">
        <w:rPr>
          <w:rFonts w:asciiTheme="minorHAnsi" w:hAnsiTheme="minorHAnsi" w:cstheme="minorHAnsi"/>
        </w:rPr>
        <w:t>disputes</w:t>
      </w:r>
      <w:bookmarkEnd w:id="5"/>
      <w:r w:rsidRPr="00993148" w:rsidR="00271825">
        <w:rPr>
          <w:rFonts w:asciiTheme="minorHAnsi" w:hAnsiTheme="minorHAnsi" w:cstheme="minorHAnsi"/>
        </w:rPr>
        <w:t xml:space="preserve"> </w:t>
      </w:r>
    </w:p>
    <w:p w:rsidRPr="00993148" w:rsidR="004D5AD5" w:rsidP="004D5AD5" w:rsidRDefault="00D839C9" w14:paraId="219198BE" w14:textId="21E73D4E">
      <w:pPr>
        <w:pStyle w:val="BrowneClauseLevel2"/>
        <w:rPr>
          <w:rFonts w:asciiTheme="minorHAnsi" w:hAnsiTheme="minorHAnsi" w:cstheme="minorHAnsi"/>
        </w:rPr>
      </w:pPr>
      <w:r w:rsidRPr="00993148">
        <w:rPr>
          <w:rFonts w:asciiTheme="minorHAnsi" w:hAnsiTheme="minorHAnsi" w:cstheme="minorHAnsi"/>
        </w:rPr>
        <w:t xml:space="preserve">Parents with concerns about SEND provision in school should first discuss concerns with their child's class teacher; arrange a meeting with the SENCO if issues remain unresolved; and meet with the </w:t>
      </w:r>
      <w:r w:rsidR="00FF61B4">
        <w:rPr>
          <w:rFonts w:asciiTheme="minorHAnsi" w:hAnsiTheme="minorHAnsi" w:cstheme="minorHAnsi"/>
        </w:rPr>
        <w:t>headteacher</w:t>
      </w:r>
      <w:r w:rsidR="00AF02CE">
        <w:rPr>
          <w:rFonts w:asciiTheme="minorHAnsi" w:hAnsiTheme="minorHAnsi" w:cstheme="minorHAnsi"/>
        </w:rPr>
        <w:t xml:space="preserve"> </w:t>
      </w:r>
      <w:r w:rsidRPr="00993148">
        <w:rPr>
          <w:rFonts w:asciiTheme="minorHAnsi" w:hAnsiTheme="minorHAnsi" w:cstheme="minorHAnsi"/>
        </w:rPr>
        <w:t>if necessary.</w:t>
      </w:r>
    </w:p>
    <w:p w:rsidR="004D5AD5" w:rsidP="004D5AD5" w:rsidRDefault="00D839C9" w14:paraId="699D882A" w14:textId="0CDC56D1">
      <w:pPr>
        <w:pStyle w:val="BrowneClauseLevel2"/>
        <w:rPr>
          <w:rFonts w:asciiTheme="minorHAnsi" w:hAnsiTheme="minorHAnsi" w:cstheme="minorHAnsi"/>
        </w:rPr>
      </w:pPr>
      <w:r w:rsidRPr="00993148">
        <w:rPr>
          <w:rFonts w:asciiTheme="minorHAnsi" w:hAnsiTheme="minorHAnsi" w:cstheme="minorHAnsi"/>
        </w:rPr>
        <w:t xml:space="preserve">If informal resolution is unsuccessful, parents may use the </w:t>
      </w:r>
      <w:r w:rsidR="00AF35E9">
        <w:rPr>
          <w:rFonts w:asciiTheme="minorHAnsi" w:hAnsiTheme="minorHAnsi" w:cstheme="minorHAnsi"/>
        </w:rPr>
        <w:t>school</w:t>
      </w:r>
      <w:r w:rsidRPr="00993148">
        <w:rPr>
          <w:rFonts w:asciiTheme="minorHAnsi" w:hAnsiTheme="minorHAnsi" w:cstheme="minorHAnsi"/>
        </w:rPr>
        <w:t xml:space="preserve">'s formal complaints procedure. </w:t>
      </w:r>
    </w:p>
    <w:p w:rsidRPr="00814971" w:rsidR="00814971" w:rsidP="00814971" w:rsidRDefault="00814971" w14:paraId="0A4A292E" w14:textId="625C4631">
      <w:pPr>
        <w:pStyle w:val="BrowneClauseLevel2"/>
        <w:rPr>
          <w:rFonts w:asciiTheme="minorHAnsi" w:hAnsiTheme="minorHAnsi" w:cstheme="minorHAnsi"/>
        </w:rPr>
      </w:pPr>
      <w:r w:rsidRPr="00814971">
        <w:rPr>
          <w:rFonts w:asciiTheme="minorHAnsi" w:hAnsiTheme="minorHAnsi" w:cstheme="minorHAnsi"/>
        </w:rPr>
        <w:t>The school is committed to working collaboratively with parents/carers, pupils and external agencies to resolve concerns at the earliest opportunity. Where concerns cannot be resolved through discussion with the school or through the school's complaints procedure, parents and young people may wish to access independent disagreement resolution or mediation services. Disagreement resolution services are available to help resolve disagreements about SEND provision, education, health and care needs assessments, (EHCPs), and the support provided by education, health or social care services. These services are independent, confidential and free of charge to families.</w:t>
      </w:r>
    </w:p>
    <w:p w:rsidRPr="00F23DC9" w:rsidR="008111BC" w:rsidP="00F23DC9" w:rsidRDefault="008111BC" w14:paraId="5B9EFDBC" w14:textId="77777777">
      <w:pPr>
        <w:pStyle w:val="BrowneClauseLevel2"/>
        <w:rPr>
          <w:rFonts w:asciiTheme="minorHAnsi" w:hAnsiTheme="minorHAnsi" w:cstheme="minorHAnsi"/>
        </w:rPr>
      </w:pPr>
      <w:r w:rsidRPr="00F23DC9">
        <w:rPr>
          <w:rFonts w:asciiTheme="minorHAnsi" w:hAnsiTheme="minorHAnsi" w:cstheme="minorHAnsi"/>
        </w:rPr>
        <w:t xml:space="preserve">Parents and young people have the right to seek mediation in relation to decisions about Education, Health and Care needs assessments and Education, Health and Care Plans. Mediation must normally be considered before an appeal can be made to the First-tier Tribunal </w:t>
      </w:r>
      <w:r w:rsidRPr="00F23DC9">
        <w:rPr>
          <w:rFonts w:asciiTheme="minorHAnsi" w:hAnsiTheme="minorHAnsi" w:cstheme="minorHAnsi"/>
        </w:rPr>
        <w:lastRenderedPageBreak/>
        <w:t>(Special Educational Needs and Disability) (SENDIST), except in certain circumstances defined in legislation.</w:t>
      </w:r>
    </w:p>
    <w:p w:rsidRPr="00F23DC9" w:rsidR="00250792" w:rsidP="00F23DC9" w:rsidRDefault="00BF5B94" w14:paraId="545ACFF3" w14:textId="5A8F506E">
      <w:pPr>
        <w:pStyle w:val="BrowneClauseLevel2"/>
        <w:rPr>
          <w:rFonts w:asciiTheme="minorHAnsi" w:hAnsiTheme="minorHAnsi" w:cstheme="minorHAnsi"/>
        </w:rPr>
      </w:pPr>
      <w:r w:rsidRPr="00F23DC9">
        <w:rPr>
          <w:rFonts w:asciiTheme="minorHAnsi" w:hAnsiTheme="minorHAnsi" w:cstheme="minorHAnsi"/>
        </w:rPr>
        <w:t>Parents and young people may also appeal directly to the First-tier Tribunal (Special Educational Needs and Disability) where they disagree with decisions relating to statutory SEND processes. Independent information, advice and support is available through the local SEND Information, Advice and Support Service (SENDIASS).</w:t>
      </w:r>
      <w:r w:rsidRPr="00F23DC9" w:rsidR="00615FBF">
        <w:rPr>
          <w:rFonts w:asciiTheme="minorHAnsi" w:hAnsiTheme="minorHAnsi" w:cstheme="minorHAnsi"/>
        </w:rPr>
        <w:t xml:space="preserve"> </w:t>
      </w:r>
      <w:r w:rsidRPr="00F23DC9">
        <w:rPr>
          <w:rFonts w:asciiTheme="minorHAnsi" w:hAnsiTheme="minorHAnsi" w:cstheme="minorHAnsi"/>
        </w:rPr>
        <w:t xml:space="preserve">Further information regarding disagreement resolution, mediation, SENDIASS and appeal rights can be found through the relevant Local Authority Local Offer. </w:t>
      </w:r>
      <w:r w:rsidRPr="00F23DC9" w:rsidR="00615FBF">
        <w:rPr>
          <w:rFonts w:asciiTheme="minorHAnsi" w:hAnsiTheme="minorHAnsi" w:cstheme="minorHAnsi"/>
        </w:rPr>
        <w:t>(See section 8)</w:t>
      </w:r>
    </w:p>
    <w:p w:rsidRPr="00993148" w:rsidR="008C0406" w:rsidP="009D42BE" w:rsidRDefault="00D839C9" w14:paraId="5B7D969D" w14:textId="7B7E07E5">
      <w:pPr>
        <w:pStyle w:val="BrowneHeadingLevel1"/>
        <w:rPr>
          <w:rFonts w:asciiTheme="minorHAnsi" w:hAnsiTheme="minorHAnsi" w:cstheme="minorHAnsi"/>
        </w:rPr>
      </w:pPr>
      <w:bookmarkStart w:name="_Toc239609847" w:id="6"/>
      <w:r w:rsidRPr="00993148">
        <w:rPr>
          <w:rFonts w:asciiTheme="minorHAnsi" w:hAnsiTheme="minorHAnsi" w:cstheme="minorHAnsi"/>
        </w:rPr>
        <w:t xml:space="preserve">Policy </w:t>
      </w:r>
      <w:r w:rsidRPr="00993148" w:rsidR="00271825">
        <w:rPr>
          <w:rFonts w:asciiTheme="minorHAnsi" w:hAnsiTheme="minorHAnsi" w:cstheme="minorHAnsi"/>
        </w:rPr>
        <w:t>links</w:t>
      </w:r>
      <w:bookmarkEnd w:id="6"/>
    </w:p>
    <w:p w:rsidRPr="00993148" w:rsidR="008C0406" w:rsidP="009D42BE" w:rsidRDefault="00D839C9" w14:paraId="7C07D953" w14:textId="77777777">
      <w:pPr>
        <w:pStyle w:val="BrowneBodyTextLevel1"/>
        <w:rPr>
          <w:rFonts w:asciiTheme="minorHAnsi" w:hAnsiTheme="minorHAnsi" w:cstheme="minorHAnsi"/>
          <w:sz w:val="22"/>
        </w:rPr>
      </w:pPr>
      <w:r w:rsidRPr="00993148">
        <w:rPr>
          <w:rFonts w:asciiTheme="minorHAnsi" w:hAnsiTheme="minorHAnsi" w:cstheme="minorHAnsi"/>
          <w:sz w:val="22"/>
        </w:rPr>
        <w:t>This policy should be read in conjunction with:</w:t>
      </w:r>
    </w:p>
    <w:p w:rsidRPr="00993148" w:rsidR="004B1832" w:rsidP="00F10035" w:rsidRDefault="00D839C9" w14:paraId="5429529E" w14:textId="4CAED294">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SEN Information Report (updated annually)</w:t>
      </w:r>
      <w:r w:rsidRPr="00993148" w:rsidR="00271825">
        <w:rPr>
          <w:rFonts w:asciiTheme="minorHAnsi" w:hAnsiTheme="minorHAnsi" w:cstheme="minorHAnsi"/>
        </w:rPr>
        <w:t>.</w:t>
      </w:r>
    </w:p>
    <w:p w:rsidRPr="00993148" w:rsidR="008C0406" w:rsidP="00F10035" w:rsidRDefault="00D839C9" w14:paraId="50534ED7" w14:textId="5B24B199">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Equality, diversity and inclusion policy</w:t>
      </w:r>
      <w:r w:rsidRPr="00993148" w:rsidR="00271825">
        <w:rPr>
          <w:rFonts w:asciiTheme="minorHAnsi" w:hAnsiTheme="minorHAnsi" w:cstheme="minorHAnsi"/>
        </w:rPr>
        <w:t>.</w:t>
      </w:r>
    </w:p>
    <w:p w:rsidRPr="00993148" w:rsidR="008C0406" w:rsidP="00F10035" w:rsidRDefault="00D839C9" w14:paraId="270466F9" w14:textId="2D01C697">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Accessibility </w:t>
      </w:r>
      <w:r w:rsidRPr="00993148" w:rsidR="00271825">
        <w:rPr>
          <w:rFonts w:asciiTheme="minorHAnsi" w:hAnsiTheme="minorHAnsi" w:cstheme="minorHAnsi"/>
        </w:rPr>
        <w:t>plan.</w:t>
      </w:r>
    </w:p>
    <w:p w:rsidRPr="00993148" w:rsidR="004A521D" w:rsidP="00F10035" w:rsidRDefault="00D839C9" w14:paraId="6EEF2244" w14:textId="0F3C1FF0">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Behaviour</w:t>
      </w:r>
      <w:r w:rsidRPr="00993148" w:rsidR="00271825">
        <w:rPr>
          <w:rFonts w:asciiTheme="minorHAnsi" w:hAnsiTheme="minorHAnsi" w:cstheme="minorHAnsi"/>
        </w:rPr>
        <w:t>.</w:t>
      </w:r>
    </w:p>
    <w:p w:rsidRPr="00993148" w:rsidR="00C1353E" w:rsidP="00F10035" w:rsidRDefault="00D839C9" w14:paraId="6702734D" w14:textId="094F2E5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Supporting pupils with medical conditions </w:t>
      </w:r>
    </w:p>
    <w:p w:rsidRPr="00993148" w:rsidR="0085570A" w:rsidP="0085570A" w:rsidRDefault="0085570A" w14:paraId="6F289F43" w14:textId="008A9834">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Data protection.</w:t>
      </w:r>
    </w:p>
    <w:p w:rsidRPr="00993148" w:rsidR="0085570A" w:rsidP="0085570A" w:rsidRDefault="0085570A" w14:paraId="0472D078" w14:textId="2077B029">
      <w:pPr>
        <w:pStyle w:val="BrowneBulletLevel1"/>
        <w:tabs>
          <w:tab w:val="clear" w:pos="227"/>
          <w:tab w:val="num" w:pos="630"/>
        </w:tabs>
        <w:ind w:left="810"/>
        <w:rPr>
          <w:rFonts w:asciiTheme="minorHAnsi" w:hAnsiTheme="minorHAnsi" w:cstheme="minorHAnsi"/>
        </w:rPr>
      </w:pPr>
      <w:r w:rsidRPr="68F902AF" w:rsidR="0085570A">
        <w:rPr>
          <w:rFonts w:ascii="Calibri" w:hAnsi="Calibri" w:cs="Calibri" w:asciiTheme="minorAscii" w:hAnsiTheme="minorAscii" w:cstheme="minorAscii"/>
        </w:rPr>
        <w:t>Complaints.</w:t>
      </w:r>
    </w:p>
    <w:p w:rsidR="0085570A" w:rsidP="68F902AF" w:rsidRDefault="0085570A" w14:paraId="039ACF11" w14:textId="3224DD9D">
      <w:pPr>
        <w:pStyle w:val="BrowneBulletLevel1"/>
        <w:tabs>
          <w:tab w:val="clear" w:pos="227"/>
          <w:tab w:val="num" w:pos="630"/>
        </w:tabs>
        <w:ind w:left="810"/>
        <w:rPr>
          <w:rFonts w:ascii="Calibri" w:hAnsi="Calibri" w:cs="Calibri" w:asciiTheme="minorAscii" w:hAnsiTheme="minorAscii" w:cstheme="minorAscii"/>
        </w:rPr>
      </w:pPr>
      <w:r w:rsidRPr="68F902AF" w:rsidR="14FAB5EF">
        <w:rPr>
          <w:rFonts w:ascii="Calibri" w:hAnsi="Calibri" w:cs="Calibri" w:asciiTheme="minorAscii" w:hAnsiTheme="minorAscii" w:cstheme="minorAscii"/>
        </w:rPr>
        <w:t>Surrey’s</w:t>
      </w:r>
      <w:r w:rsidRPr="68F902AF" w:rsidR="0085570A">
        <w:rPr>
          <w:rFonts w:ascii="Calibri" w:hAnsi="Calibri" w:cs="Calibri" w:asciiTheme="minorAscii" w:hAnsiTheme="minorAscii" w:cstheme="minorAscii"/>
        </w:rPr>
        <w:t xml:space="preserve"> local offer.</w:t>
      </w:r>
    </w:p>
    <w:p w:rsidR="00615FBF" w:rsidP="00615FBF" w:rsidRDefault="00615FBF" w14:paraId="21C04CE6" w14:textId="45E1F0DD">
      <w:pPr>
        <w:pStyle w:val="BrowneHeadingLevel1"/>
        <w:rPr>
          <w:rFonts w:asciiTheme="minorHAnsi" w:hAnsiTheme="minorHAnsi" w:cstheme="minorHAnsi"/>
        </w:rPr>
      </w:pPr>
      <w:r w:rsidRPr="68F902AF" w:rsidR="00615FBF">
        <w:rPr>
          <w:rFonts w:ascii="Calibri" w:hAnsi="Calibri" w:cs="Calibri" w:asciiTheme="minorAscii" w:hAnsiTheme="minorAscii" w:cstheme="minorAscii"/>
        </w:rPr>
        <w:t>Local Authority links</w:t>
      </w:r>
    </w:p>
    <w:p w:rsidRPr="00EE4B15" w:rsidR="00EE4B15" w:rsidP="00EE4B15" w:rsidRDefault="00EE4B15" w14:paraId="30296CF4" w14:textId="59207D9C">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Surrey Local Offer: </w:t>
      </w:r>
      <w:hyperlink w:history="1" r:id="rId14">
        <w:r w:rsidRPr="00690FA9">
          <w:rPr>
            <w:rStyle w:val="Hyperlink"/>
            <w:rFonts w:asciiTheme="minorHAnsi" w:hAnsiTheme="minorHAnsi" w:cstheme="minorHAnsi"/>
          </w:rPr>
          <w:t>https://www.surreylocaloffer.org.uk</w:t>
        </w:r>
      </w:hyperlink>
      <w:r>
        <w:rPr>
          <w:rFonts w:asciiTheme="minorHAnsi" w:hAnsiTheme="minorHAnsi" w:cstheme="minorHAnsi"/>
        </w:rPr>
        <w:t xml:space="preserve"> </w:t>
      </w:r>
    </w:p>
    <w:p w:rsidRPr="00EE4B15" w:rsidR="00EE4B15" w:rsidP="00EE4B15" w:rsidRDefault="00EE4B15" w14:paraId="404598EB" w14:textId="4741407C">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Surrey SEND Information, Advice and Support Service (SENDIAS): </w:t>
      </w:r>
      <w:hyperlink w:history="1" r:id="rId15">
        <w:r w:rsidRPr="00690FA9">
          <w:rPr>
            <w:rStyle w:val="Hyperlink"/>
            <w:rFonts w:asciiTheme="minorHAnsi" w:hAnsiTheme="minorHAnsi" w:cstheme="minorHAnsi"/>
          </w:rPr>
          <w:t>https://sendadvicesurrey.org.uk</w:t>
        </w:r>
      </w:hyperlink>
      <w:r>
        <w:rPr>
          <w:rFonts w:asciiTheme="minorHAnsi" w:hAnsiTheme="minorHAnsi" w:cstheme="minorHAnsi"/>
        </w:rPr>
        <w:t xml:space="preserve"> </w:t>
      </w:r>
    </w:p>
    <w:p w:rsidRPr="00EE4B15" w:rsidR="00EE4B15" w:rsidP="00EE4B15" w:rsidRDefault="00EE4B15" w14:paraId="490845C3" w14:textId="1C059644">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Surrey disagreement resolution and mediation information: </w:t>
      </w:r>
      <w:hyperlink w:history="1" r:id="rId16">
        <w:r w:rsidRPr="00690FA9">
          <w:rPr>
            <w:rStyle w:val="Hyperlink"/>
            <w:rFonts w:asciiTheme="minorHAnsi" w:hAnsiTheme="minorHAnsi" w:cstheme="minorHAnsi"/>
          </w:rPr>
          <w:t>https://www.surreylocaloffer.org.uk/parents-and-carers/education-and-training/education-health-and-care-plans/mediation-and-disagreement-resolution</w:t>
        </w:r>
      </w:hyperlink>
      <w:r>
        <w:rPr>
          <w:rFonts w:asciiTheme="minorHAnsi" w:hAnsiTheme="minorHAnsi" w:cstheme="minorHAnsi"/>
        </w:rPr>
        <w:t xml:space="preserve"> </w:t>
      </w:r>
    </w:p>
    <w:p w:rsidRPr="00EE4B15" w:rsidR="00EE4B15" w:rsidP="68F902AF" w:rsidRDefault="00EE4B15" w14:paraId="7C477CCC" w14:textId="589444B2">
      <w:pPr>
        <w:pStyle w:val="BrowneBulletLevel1"/>
        <w:tabs>
          <w:tab w:val="clear" w:leader="none" w:pos="227"/>
          <w:tab w:val="num" w:leader="none" w:pos="630"/>
        </w:tabs>
        <w:spacing w:after="0"/>
        <w:ind w:left="810"/>
        <w:jc w:val="left"/>
        <w:rPr>
          <w:rFonts w:ascii="Calibri" w:hAnsi="Calibri" w:cs="Calibri" w:asciiTheme="minorAscii" w:hAnsiTheme="minorAscii" w:cstheme="minorAscii"/>
        </w:rPr>
      </w:pPr>
      <w:r w:rsidRPr="68F902AF" w:rsidR="00EE4B15">
        <w:rPr>
          <w:rFonts w:ascii="Calibri" w:hAnsi="Calibri" w:cs="Calibri" w:asciiTheme="minorAscii" w:hAnsiTheme="minorAscii" w:cstheme="minorAscii"/>
          <w:lang w:val="fr-FR"/>
        </w:rPr>
        <w:t xml:space="preserve">SEND Tribunal </w:t>
      </w:r>
      <w:r w:rsidRPr="68F902AF" w:rsidR="00EE4B15">
        <w:rPr>
          <w:rFonts w:ascii="Calibri" w:hAnsi="Calibri" w:cs="Calibri" w:asciiTheme="minorAscii" w:hAnsiTheme="minorAscii" w:cstheme="minorAscii"/>
          <w:lang w:val="fr-FR"/>
        </w:rPr>
        <w:t>information:</w:t>
      </w:r>
      <w:r w:rsidRPr="68F902AF" w:rsidR="00EE4B15">
        <w:rPr>
          <w:rFonts w:ascii="Calibri" w:hAnsi="Calibri" w:cs="Calibri" w:asciiTheme="minorAscii" w:hAnsiTheme="minorAscii" w:cstheme="minorAscii"/>
          <w:lang w:val="fr-FR"/>
        </w:rPr>
        <w:t xml:space="preserve"> </w:t>
      </w:r>
      <w:hyperlink r:id="Rf66c8201aae64f2b">
        <w:r w:rsidRPr="68F902AF" w:rsidR="00EE4B15">
          <w:rPr>
            <w:rStyle w:val="Hyperlink"/>
            <w:rFonts w:ascii="Calibri" w:hAnsi="Calibri" w:cs="Calibri" w:asciiTheme="minorAscii" w:hAnsiTheme="minorAscii" w:cstheme="minorAscii"/>
            <w:lang w:val="fr-FR"/>
          </w:rPr>
          <w:t>https://www.gov.uk/courts-tribunals/first-tier-tribunal-special-educational-needs-and-disability</w:t>
        </w:r>
      </w:hyperlink>
      <w:r w:rsidRPr="68F902AF" w:rsidR="00EE4B15">
        <w:rPr>
          <w:rFonts w:ascii="Calibri" w:hAnsi="Calibri" w:cs="Calibri" w:asciiTheme="minorAscii" w:hAnsiTheme="minorAscii" w:cstheme="minorAscii"/>
          <w:lang w:val="fr-FR"/>
        </w:rPr>
        <w:t xml:space="preserve"> </w:t>
      </w:r>
    </w:p>
    <w:p w:rsidRPr="00EE4B15" w:rsidR="00EE4B15" w:rsidP="68F902AF" w:rsidRDefault="00EE4B15" w14:paraId="2A64C660" w14:textId="58243DA9">
      <w:pPr>
        <w:pStyle w:val="BrowneBulletLevel1"/>
        <w:tabs>
          <w:tab w:val="clear" w:leader="none" w:pos="227"/>
          <w:tab w:val="num" w:leader="none" w:pos="630"/>
        </w:tabs>
        <w:spacing w:after="0"/>
        <w:ind w:left="810"/>
        <w:jc w:val="left"/>
        <w:rPr>
          <w:rFonts w:ascii="Calibri" w:hAnsi="Calibri" w:cs="Calibri" w:asciiTheme="minorAscii" w:hAnsiTheme="minorAscii" w:cstheme="minorAscii"/>
        </w:rPr>
      </w:pPr>
      <w:r w:rsidRPr="68F902AF" w:rsidR="00EE4B15">
        <w:rPr>
          <w:rFonts w:ascii="Calibri" w:hAnsi="Calibri" w:cs="Calibri" w:asciiTheme="minorAscii" w:hAnsiTheme="minorAscii" w:cstheme="minorAscii"/>
        </w:rPr>
        <w:t xml:space="preserve">SEND Tribunal (SENDIST): </w:t>
      </w:r>
      <w:hyperlink r:id="R78887c353afb4c00">
        <w:r w:rsidRPr="68F902AF" w:rsidR="00EE4B15">
          <w:rPr>
            <w:rStyle w:val="Hyperlink"/>
            <w:rFonts w:ascii="Calibri" w:hAnsi="Calibri" w:cs="Calibri" w:asciiTheme="minorAscii" w:hAnsiTheme="minorAscii" w:cstheme="minorAscii"/>
          </w:rPr>
          <w:t>https://www.gov.uk/courts-tribunals/first-tier-tribunal-special-educational-needs-and-disability</w:t>
        </w:r>
      </w:hyperlink>
      <w:r w:rsidRPr="68F902AF" w:rsidR="00EE4B15">
        <w:rPr>
          <w:rFonts w:ascii="Calibri" w:hAnsi="Calibri" w:cs="Calibri" w:asciiTheme="minorAscii" w:hAnsiTheme="minorAscii" w:cstheme="minorAscii"/>
        </w:rPr>
        <w:t xml:space="preserve"> </w:t>
      </w:r>
    </w:p>
    <w:p w:rsidRPr="00EE4B15" w:rsidR="00615FBF" w:rsidP="00EE4B15" w:rsidRDefault="00615FBF" w14:paraId="35693FC6" w14:textId="77777777">
      <w:pPr>
        <w:pStyle w:val="BrowneBulletLevel1"/>
        <w:numPr>
          <w:ilvl w:val="0"/>
          <w:numId w:val="0"/>
        </w:numPr>
        <w:tabs>
          <w:tab w:val="num" w:pos="630"/>
        </w:tabs>
        <w:spacing w:after="0"/>
        <w:ind w:left="227" w:hanging="227"/>
        <w:jc w:val="left"/>
        <w:rPr>
          <w:rFonts w:asciiTheme="minorHAnsi" w:hAnsiTheme="minorHAnsi" w:cstheme="minorHAnsi"/>
        </w:rPr>
      </w:pPr>
    </w:p>
    <w:sectPr w:rsidRPr="00EE4B15" w:rsidR="00615FBF" w:rsidSect="000A5F63">
      <w:headerReference w:type="first" r:id="rId24"/>
      <w:footerReference w:type="first" r:id="rId25"/>
      <w:pgSz w:w="11906" w:h="16838" w:orient="portrait" w:code="9"/>
      <w:pgMar w:top="1440" w:right="1440" w:bottom="1440" w:left="1440" w:header="567" w:footer="567" w:gutter="0"/>
      <w:paperSrc w:first="1" w:other="1"/>
      <w:pgNumType w:start="1"/>
      <w:cols w:space="708"/>
      <w:titlePg/>
      <w:docGrid w:linePitch="360"/>
      <w:headerReference w:type="default" r:id="R501368393c884ebc"/>
      <w:footerReference w:type="default" r:id="Rc163c2cf442245f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4A5C" w:rsidRDefault="005C4A5C" w14:paraId="16B4175C" w14:textId="77777777">
      <w:pPr>
        <w:spacing w:after="0" w:line="240" w:lineRule="auto"/>
      </w:pPr>
      <w:r>
        <w:separator/>
      </w:r>
    </w:p>
  </w:endnote>
  <w:endnote w:type="continuationSeparator" w:id="0">
    <w:p w:rsidR="005C4A5C" w:rsidRDefault="005C4A5C" w14:paraId="543E1C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color="4B0A28" w:sz="4" w:space="0"/>
        <w:insideV w:val="single" w:color="4B0A28" w:sz="8" w:space="0"/>
      </w:tblBorders>
      <w:tblCellMar>
        <w:left w:w="0" w:type="dxa"/>
        <w:right w:w="0" w:type="dxa"/>
      </w:tblCellMar>
      <w:tblLook w:val="04A0" w:firstRow="1" w:lastRow="0" w:firstColumn="1" w:lastColumn="0" w:noHBand="0" w:noVBand="1"/>
    </w:tblPr>
    <w:tblGrid>
      <w:gridCol w:w="2589"/>
      <w:gridCol w:w="1375"/>
      <w:gridCol w:w="3597"/>
      <w:gridCol w:w="1465"/>
    </w:tblGrid>
    <w:tr w:rsidR="00493510" w:rsidTr="00552270" w14:paraId="7983493D" w14:textId="77777777">
      <w:tc>
        <w:tcPr>
          <w:tcW w:w="2948" w:type="dxa"/>
          <w:tcBorders>
            <w:top w:val="nil"/>
            <w:bottom w:val="nil"/>
            <w:right w:val="single" w:color="4B0A28" w:sz="4" w:space="0"/>
          </w:tcBorders>
        </w:tcPr>
        <w:p w:rsidRPr="00AF1734" w:rsidR="00AF1734" w:rsidP="00AF1734" w:rsidRDefault="00D839C9" w14:paraId="0BD9BAC0" w14:textId="77777777">
          <w:pPr>
            <w:spacing w:after="0"/>
            <w:rPr>
              <w:rFonts w:eastAsia="Times New Roman" w:cs="Arial"/>
              <w:b/>
              <w:bCs/>
              <w:color w:val="4B0A28"/>
              <w:sz w:val="16"/>
            </w:rPr>
          </w:pPr>
          <w:r w:rsidRPr="00AF1734">
            <w:rPr>
              <w:rFonts w:eastAsia="Times New Roman" w:cs="Arial"/>
              <w:b/>
              <w:bCs/>
              <w:color w:val="4B0A28"/>
              <w:sz w:val="16"/>
            </w:rPr>
            <w:t>Browne Jacobson</w:t>
          </w:r>
        </w:p>
        <w:p w:rsidRPr="00AF1734" w:rsidR="00AF1734" w:rsidP="00AF1734" w:rsidRDefault="00D839C9" w14:paraId="3ADE0E86" w14:textId="7777777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Pr>
              <w:rFonts w:eastAsia="Times New Roman" w:cs="Arial"/>
              <w:color w:val="4B0A28"/>
              <w:sz w:val="16"/>
            </w:rPr>
            <w:fldChar w:fldCharType="end"/>
          </w:r>
        </w:p>
      </w:tc>
      <w:tc>
        <w:tcPr>
          <w:tcW w:w="1447" w:type="dxa"/>
          <w:tcBorders>
            <w:top w:val="nil"/>
            <w:left w:val="single" w:color="4B0A28" w:sz="4" w:space="0"/>
            <w:bottom w:val="nil"/>
            <w:right w:val="single" w:color="4B0A28" w:sz="4" w:space="0"/>
          </w:tcBorders>
          <w:tcMar>
            <w:left w:w="113" w:type="dxa"/>
          </w:tcMar>
        </w:tcPr>
        <w:p w:rsidRPr="00AF1734" w:rsidR="00AF1734" w:rsidP="00AF1734" w:rsidRDefault="00D839C9" w14:paraId="73DFFC0D" w14:textId="77777777">
          <w:pPr>
            <w:spacing w:after="0"/>
            <w:rPr>
              <w:rFonts w:eastAsia="Times New Roman" w:cs="Arial"/>
              <w:color w:val="4B0A28"/>
              <w:sz w:val="16"/>
            </w:rPr>
          </w:pPr>
          <w:r w:rsidRPr="00AF1734">
            <w:rPr>
              <w:rFonts w:eastAsia="Times New Roman" w:cs="Arial"/>
              <w:color w:val="4B0A28"/>
              <w:sz w:val="16"/>
            </w:rPr>
            <w:t>[Placeholder 1]</w:t>
          </w:r>
        </w:p>
        <w:p w:rsidRPr="00AF1734" w:rsidR="00AF1734" w:rsidP="00AF1734" w:rsidRDefault="00D839C9" w14:paraId="72D56299" w14:textId="7777777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color="4B0A28" w:sz="4" w:space="0"/>
            <w:bottom w:val="nil"/>
            <w:right w:val="nil"/>
          </w:tcBorders>
          <w:tcMar>
            <w:left w:w="113" w:type="dxa"/>
            <w:right w:w="113" w:type="dxa"/>
          </w:tcMar>
        </w:tcPr>
        <w:p w:rsidRPr="00AF1734" w:rsidR="00AF1734" w:rsidP="00AF1734" w:rsidRDefault="00D839C9" w14:paraId="7F348CBA" w14:textId="77777777">
          <w:pPr>
            <w:spacing w:after="0"/>
            <w:rPr>
              <w:rFonts w:eastAsia="Times New Roman" w:cs="Arial"/>
              <w:color w:val="4B0A28"/>
              <w:sz w:val="16"/>
            </w:rPr>
          </w:pPr>
          <w:r w:rsidRPr="00AF1734">
            <w:rPr>
              <w:rFonts w:eastAsia="Times New Roman" w:cs="Arial"/>
              <w:color w:val="4B0A28"/>
              <w:sz w:val="16"/>
            </w:rPr>
            <w:t>[Placeholder 3]</w:t>
          </w:r>
        </w:p>
        <w:p w:rsidRPr="00AF1734" w:rsidR="00AF1734" w:rsidP="00AF1734" w:rsidRDefault="00D839C9" w14:paraId="1E07B33C" w14:textId="7777777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rsidRPr="00AF1734" w:rsidR="00AF1734" w:rsidP="00AF1734" w:rsidRDefault="00D839C9" w14:paraId="2873BB6C" w14:textId="7777777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sidRPr="00AF1734">
            <w:rPr>
              <w:rFonts w:eastAsia="Times New Roman" w:cs="Arial"/>
              <w:color w:val="4B0A28"/>
              <w:sz w:val="16"/>
            </w:rPr>
            <w:t>2</w:t>
          </w:r>
          <w:r w:rsidRPr="00AF1734">
            <w:rPr>
              <w:rFonts w:eastAsia="Times New Roman" w:cs="Arial"/>
              <w:color w:val="4B0A28"/>
              <w:sz w:val="16"/>
            </w:rPr>
            <w:fldChar w:fldCharType="end"/>
          </w:r>
        </w:p>
        <w:p w:rsidRPr="00AF1734" w:rsidR="00AF1734" w:rsidP="00AF1734" w:rsidRDefault="00AF1734" w14:paraId="7AE9E1AB" w14:textId="77777777">
          <w:pPr>
            <w:spacing w:after="0"/>
            <w:jc w:val="right"/>
            <w:rPr>
              <w:rFonts w:eastAsia="Times New Roman" w:cs="Arial"/>
              <w:color w:val="BFBFBF" w:themeColor="background1" w:themeShade="BF"/>
              <w:sz w:val="13"/>
            </w:rPr>
          </w:pPr>
        </w:p>
      </w:tc>
    </w:tr>
  </w:tbl>
  <w:p w:rsidRPr="00AF1734" w:rsidR="00C54CB4" w:rsidP="00AF1734" w:rsidRDefault="00C54CB4" w14:paraId="3C9DAD8F" w14:textId="77777777">
    <w:pPr>
      <w:pStyle w:val="Footer"/>
      <w:spacing w:before="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430455"/>
      <w:docPartObj>
        <w:docPartGallery w:val="Page Numbers (Bottom of Page)"/>
        <w:docPartUnique/>
      </w:docPartObj>
    </w:sdtPr>
    <w:sdtEndPr/>
    <w:sdtContent>
      <w:p w:rsidR="006C6B87" w:rsidRDefault="006C6B87" w14:paraId="6B494380" w14:textId="32F058C3">
        <w:pPr>
          <w:pStyle w:val="Footer"/>
          <w:jc w:val="right"/>
        </w:pPr>
        <w:r>
          <w:fldChar w:fldCharType="begin"/>
        </w:r>
        <w:r>
          <w:instrText>PAGE   \* MERGEFORMAT</w:instrText>
        </w:r>
        <w:r>
          <w:fldChar w:fldCharType="separate"/>
        </w:r>
        <w:r>
          <w:t>2</w:t>
        </w:r>
        <w:r>
          <w:fldChar w:fldCharType="end"/>
        </w:r>
      </w:p>
    </w:sdtContent>
  </w:sdt>
  <w:p w:rsidR="00C54CB4" w:rsidP="00AF1734" w:rsidRDefault="00C54CB4" w14:paraId="4BEC9B7F" w14:textId="77777777">
    <w:pPr>
      <w:pStyle w:val="Footer"/>
      <w:spacing w:before="0"/>
      <w:rPr>
        <w:sz w:val="2"/>
        <w:szCs w:val="2"/>
      </w:rPr>
    </w:pPr>
  </w:p>
  <w:p w:rsidRPr="00AF1734" w:rsidR="009721A9" w:rsidP="009721A9" w:rsidRDefault="009721A9" w14:paraId="43546F02" w14:textId="1DED5ACA">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Pr="00A70567" w:rsidR="00A70567">
      <w:rPr>
        <w:rFonts w:cs="Arial"/>
        <w:sz w:val="16"/>
        <w:szCs w:val="2"/>
      </w:rPr>
      <w:t>82222102v1</w:t>
    </w:r>
    <w:r>
      <w:rPr>
        <w:sz w:val="2"/>
        <w:szCs w:val="2"/>
      </w:rP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8D4287C" w:rsidTr="78D4287C" w14:paraId="7E1EC344">
      <w:trPr>
        <w:trHeight w:val="300"/>
      </w:trPr>
      <w:tc>
        <w:tcPr>
          <w:tcW w:w="3005" w:type="dxa"/>
          <w:tcMar/>
        </w:tcPr>
        <w:p w:rsidR="78D4287C" w:rsidP="78D4287C" w:rsidRDefault="78D4287C" w14:paraId="3CC6CBBD" w14:textId="24EB2A22">
          <w:pPr>
            <w:pStyle w:val="Header"/>
            <w:bidi w:val="0"/>
            <w:ind w:left="-115"/>
            <w:jc w:val="left"/>
          </w:pPr>
        </w:p>
      </w:tc>
      <w:tc>
        <w:tcPr>
          <w:tcW w:w="3005" w:type="dxa"/>
          <w:tcMar/>
        </w:tcPr>
        <w:p w:rsidR="78D4287C" w:rsidP="78D4287C" w:rsidRDefault="78D4287C" w14:paraId="14E9C617" w14:textId="11FB4381">
          <w:pPr>
            <w:pStyle w:val="Header"/>
            <w:bidi w:val="0"/>
            <w:jc w:val="center"/>
          </w:pPr>
        </w:p>
      </w:tc>
      <w:tc>
        <w:tcPr>
          <w:tcW w:w="3005" w:type="dxa"/>
          <w:tcMar/>
        </w:tcPr>
        <w:p w:rsidR="78D4287C" w:rsidP="78D4287C" w:rsidRDefault="78D4287C" w14:paraId="3C4D11DF" w14:textId="683FF7FB">
          <w:pPr>
            <w:pStyle w:val="Header"/>
            <w:bidi w:val="0"/>
            <w:ind w:right="-115"/>
            <w:jc w:val="right"/>
          </w:pPr>
        </w:p>
      </w:tc>
    </w:tr>
  </w:tbl>
  <w:p w:rsidR="78D4287C" w:rsidP="78D4287C" w:rsidRDefault="78D4287C" w14:paraId="763CABD5" w14:textId="540792F3">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8D4287C" w:rsidTr="78D4287C" w14:paraId="455CF040">
      <w:trPr>
        <w:trHeight w:val="300"/>
      </w:trPr>
      <w:tc>
        <w:tcPr>
          <w:tcW w:w="3005" w:type="dxa"/>
          <w:tcMar/>
        </w:tcPr>
        <w:p w:rsidR="78D4287C" w:rsidP="78D4287C" w:rsidRDefault="78D4287C" w14:paraId="3A592918" w14:textId="14F0E677">
          <w:pPr>
            <w:pStyle w:val="Header"/>
            <w:bidi w:val="0"/>
            <w:ind w:left="-115"/>
            <w:jc w:val="left"/>
          </w:pPr>
        </w:p>
      </w:tc>
      <w:tc>
        <w:tcPr>
          <w:tcW w:w="3005" w:type="dxa"/>
          <w:tcMar/>
        </w:tcPr>
        <w:p w:rsidR="78D4287C" w:rsidP="78D4287C" w:rsidRDefault="78D4287C" w14:paraId="2CD2FFDF" w14:textId="6AA9CBC0">
          <w:pPr>
            <w:pStyle w:val="Header"/>
            <w:bidi w:val="0"/>
            <w:jc w:val="center"/>
          </w:pPr>
        </w:p>
      </w:tc>
      <w:tc>
        <w:tcPr>
          <w:tcW w:w="3005" w:type="dxa"/>
          <w:tcMar/>
        </w:tcPr>
        <w:p w:rsidR="78D4287C" w:rsidP="78D4287C" w:rsidRDefault="78D4287C" w14:paraId="03CB58B3" w14:textId="7AB0A3CB">
          <w:pPr>
            <w:pStyle w:val="Header"/>
            <w:bidi w:val="0"/>
            <w:ind w:right="-115"/>
            <w:jc w:val="right"/>
          </w:pPr>
        </w:p>
      </w:tc>
    </w:tr>
  </w:tbl>
  <w:p w:rsidR="78D4287C" w:rsidP="78D4287C" w:rsidRDefault="78D4287C" w14:paraId="7F5582A0" w14:textId="0E6D0BC1">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8D4287C" w:rsidTr="78D4287C" w14:paraId="630ADBD0">
      <w:trPr>
        <w:trHeight w:val="300"/>
      </w:trPr>
      <w:tc>
        <w:tcPr>
          <w:tcW w:w="3005" w:type="dxa"/>
          <w:tcMar/>
        </w:tcPr>
        <w:p w:rsidR="78D4287C" w:rsidP="78D4287C" w:rsidRDefault="78D4287C" w14:paraId="4335C202" w14:textId="08032A3B">
          <w:pPr>
            <w:pStyle w:val="Header"/>
            <w:bidi w:val="0"/>
            <w:ind w:left="-115"/>
            <w:jc w:val="left"/>
          </w:pPr>
        </w:p>
      </w:tc>
      <w:tc>
        <w:tcPr>
          <w:tcW w:w="3005" w:type="dxa"/>
          <w:tcMar/>
        </w:tcPr>
        <w:p w:rsidR="78D4287C" w:rsidP="78D4287C" w:rsidRDefault="78D4287C" w14:paraId="1DE11C4F" w14:textId="20715F7A">
          <w:pPr>
            <w:pStyle w:val="Header"/>
            <w:bidi w:val="0"/>
            <w:jc w:val="center"/>
          </w:pPr>
        </w:p>
      </w:tc>
      <w:tc>
        <w:tcPr>
          <w:tcW w:w="3005" w:type="dxa"/>
          <w:tcMar/>
        </w:tcPr>
        <w:p w:rsidR="78D4287C" w:rsidP="78D4287C" w:rsidRDefault="78D4287C" w14:paraId="07EF4719" w14:textId="548E86D8">
          <w:pPr>
            <w:pStyle w:val="Header"/>
            <w:bidi w:val="0"/>
            <w:ind w:right="-115"/>
            <w:jc w:val="right"/>
          </w:pPr>
        </w:p>
      </w:tc>
    </w:tr>
  </w:tbl>
  <w:p w:rsidR="78D4287C" w:rsidP="78D4287C" w:rsidRDefault="78D4287C" w14:paraId="7696797E" w14:textId="467647F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4A5C" w:rsidRDefault="005C4A5C" w14:paraId="5E6215BA" w14:textId="77777777">
      <w:pPr>
        <w:spacing w:after="0" w:line="240" w:lineRule="auto"/>
      </w:pPr>
      <w:r>
        <w:separator/>
      </w:r>
    </w:p>
  </w:footnote>
  <w:footnote w:type="continuationSeparator" w:id="0">
    <w:p w:rsidR="005C4A5C" w:rsidRDefault="005C4A5C" w14:paraId="35A48B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color="4B0A28" w:sz="8" w:space="0"/>
      </w:tblBorders>
      <w:tblCellMar>
        <w:left w:w="0" w:type="dxa"/>
        <w:right w:w="0" w:type="dxa"/>
      </w:tblCellMar>
      <w:tblLook w:val="04A0" w:firstRow="1" w:lastRow="0" w:firstColumn="1" w:lastColumn="0" w:noHBand="0" w:noVBand="1"/>
    </w:tblPr>
    <w:tblGrid>
      <w:gridCol w:w="9026"/>
    </w:tblGrid>
    <w:tr w:rsidR="00493510" w:rsidTr="00552270" w14:paraId="001199DD" w14:textId="77777777">
      <w:trPr>
        <w:trHeight w:val="14"/>
      </w:trPr>
      <w:tc>
        <w:tcPr>
          <w:tcW w:w="10194" w:type="dxa"/>
          <w:tcBorders>
            <w:top w:val="single" w:color="4B0A28" w:sz="8" w:space="0"/>
          </w:tcBorders>
        </w:tcPr>
        <w:p w:rsidRPr="00AF1734" w:rsidR="00AF1734" w:rsidP="00AF1734" w:rsidRDefault="00AF1734" w14:paraId="7D820548" w14:textId="77777777">
          <w:pPr>
            <w:spacing w:after="0" w:line="240" w:lineRule="auto"/>
            <w:rPr>
              <w:sz w:val="2"/>
              <w:szCs w:val="2"/>
            </w:rPr>
          </w:pPr>
        </w:p>
      </w:tc>
    </w:tr>
  </w:tbl>
  <w:p w:rsidRPr="00AF1734" w:rsidR="00C54CB4" w:rsidP="00183547" w:rsidRDefault="00C54CB4" w14:paraId="3E486CC1" w14:textId="7777777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65608" w:rsidR="00726B1A" w:rsidP="00726B1A" w:rsidRDefault="00873CCC" w14:paraId="287E5CB1" w14:textId="32EB7F36">
    <w:r w:rsidRPr="00970EA3">
      <w:rPr>
        <w:rFonts w:ascii="Calibri" w:hAnsi="Calibri" w:cs="Calibri"/>
        <w:noProof/>
      </w:rPr>
      <w:drawing>
        <wp:anchor distT="0" distB="0" distL="114300" distR="114300" simplePos="0" relativeHeight="251659264" behindDoc="0" locked="0" layoutInCell="1" allowOverlap="1" wp14:anchorId="189CDB6C" wp14:editId="08A4439C">
          <wp:simplePos x="0" y="0"/>
          <wp:positionH relativeFrom="column">
            <wp:posOffset>-444500</wp:posOffset>
          </wp:positionH>
          <wp:positionV relativeFrom="paragraph">
            <wp:posOffset>-82550</wp:posOffset>
          </wp:positionV>
          <wp:extent cx="1305567" cy="9048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7"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726B1A">
      <w:tab/>
    </w:r>
    <w:r w:rsidR="00726B1A">
      <w:tab/>
    </w:r>
    <w:r w:rsidR="00726B1A">
      <w:tab/>
    </w:r>
    <w:r w:rsidR="00726B1A">
      <w:tab/>
    </w:r>
    <w:r w:rsidR="00726B1A">
      <w:tab/>
    </w:r>
    <w:r w:rsidR="00726B1A">
      <w:tab/>
    </w:r>
    <w:r>
      <w:t xml:space="preserve">                                       </w:t>
    </w:r>
    <w:r w:rsidR="00726B1A">
      <w:rPr>
        <w:noProof/>
      </w:rPr>
      <w:drawing>
        <wp:inline distT="0" distB="0" distL="0" distR="0" wp14:anchorId="12B6A87A" wp14:editId="046A1050">
          <wp:extent cx="1440815" cy="687705"/>
          <wp:effectExtent l="0" t="0" r="6985" b="0"/>
          <wp:docPr id="137129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815" cy="687705"/>
                  </a:xfrm>
                  <a:prstGeom prst="rect">
                    <a:avLst/>
                  </a:prstGeom>
                  <a:noFill/>
                  <a:ln>
                    <a:noFill/>
                  </a:ln>
                </pic:spPr>
              </pic:pic>
            </a:graphicData>
          </a:graphic>
        </wp:inline>
      </w:drawing>
    </w:r>
  </w:p>
  <w:p w:rsidRPr="00726B1A" w:rsidR="00C54CB4" w:rsidP="00726B1A" w:rsidRDefault="00C54CB4" w14:paraId="253297A4" w14:textId="03CD37BC">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6B1A" w:rsidR="00726B1A" w:rsidP="00726B1A" w:rsidRDefault="00726B1A" w14:paraId="77083F4C" w14:textId="77777777">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8D4287C" w:rsidTr="78D4287C" w14:paraId="66DA5C6B">
      <w:trPr>
        <w:trHeight w:val="300"/>
      </w:trPr>
      <w:tc>
        <w:tcPr>
          <w:tcW w:w="3005" w:type="dxa"/>
          <w:tcMar/>
        </w:tcPr>
        <w:p w:rsidR="78D4287C" w:rsidP="78D4287C" w:rsidRDefault="78D4287C" w14:paraId="5389925F" w14:textId="36EB7C66">
          <w:pPr>
            <w:pStyle w:val="Header"/>
            <w:bidi w:val="0"/>
            <w:ind w:left="-115"/>
            <w:jc w:val="left"/>
          </w:pPr>
        </w:p>
      </w:tc>
      <w:tc>
        <w:tcPr>
          <w:tcW w:w="3005" w:type="dxa"/>
          <w:tcMar/>
        </w:tcPr>
        <w:p w:rsidR="78D4287C" w:rsidP="78D4287C" w:rsidRDefault="78D4287C" w14:paraId="4FEA94B1" w14:textId="02234E41">
          <w:pPr>
            <w:pStyle w:val="Header"/>
            <w:bidi w:val="0"/>
            <w:jc w:val="center"/>
          </w:pPr>
        </w:p>
      </w:tc>
      <w:tc>
        <w:tcPr>
          <w:tcW w:w="3005" w:type="dxa"/>
          <w:tcMar/>
        </w:tcPr>
        <w:p w:rsidR="78D4287C" w:rsidP="78D4287C" w:rsidRDefault="78D4287C" w14:paraId="77D80E34" w14:textId="0C58624B">
          <w:pPr>
            <w:pStyle w:val="Header"/>
            <w:bidi w:val="0"/>
            <w:ind w:right="-115"/>
            <w:jc w:val="right"/>
          </w:pPr>
        </w:p>
      </w:tc>
    </w:tr>
  </w:tbl>
  <w:p w:rsidR="78D4287C" w:rsidP="78D4287C" w:rsidRDefault="78D4287C" w14:paraId="0BEE775B" w14:textId="4D4C0A57">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8D4287C" w:rsidTr="78D4287C" w14:paraId="6F47D90A">
      <w:trPr>
        <w:trHeight w:val="300"/>
      </w:trPr>
      <w:tc>
        <w:tcPr>
          <w:tcW w:w="3005" w:type="dxa"/>
          <w:tcMar/>
        </w:tcPr>
        <w:p w:rsidR="78D4287C" w:rsidP="78D4287C" w:rsidRDefault="78D4287C" w14:paraId="375B6F94" w14:textId="1557FD95">
          <w:pPr>
            <w:pStyle w:val="Header"/>
            <w:bidi w:val="0"/>
            <w:ind w:left="-115"/>
            <w:jc w:val="left"/>
          </w:pPr>
        </w:p>
      </w:tc>
      <w:tc>
        <w:tcPr>
          <w:tcW w:w="3005" w:type="dxa"/>
          <w:tcMar/>
        </w:tcPr>
        <w:p w:rsidR="78D4287C" w:rsidP="78D4287C" w:rsidRDefault="78D4287C" w14:paraId="348848C8" w14:textId="43EF7351">
          <w:pPr>
            <w:pStyle w:val="Header"/>
            <w:bidi w:val="0"/>
            <w:jc w:val="center"/>
          </w:pPr>
        </w:p>
      </w:tc>
      <w:tc>
        <w:tcPr>
          <w:tcW w:w="3005" w:type="dxa"/>
          <w:tcMar/>
        </w:tcPr>
        <w:p w:rsidR="78D4287C" w:rsidP="78D4287C" w:rsidRDefault="78D4287C" w14:paraId="204E88E8" w14:textId="24B8DF32">
          <w:pPr>
            <w:pStyle w:val="Header"/>
            <w:bidi w:val="0"/>
            <w:ind w:right="-115"/>
            <w:jc w:val="right"/>
          </w:pPr>
        </w:p>
      </w:tc>
    </w:tr>
  </w:tbl>
  <w:p w:rsidR="78D4287C" w:rsidP="78D4287C" w:rsidRDefault="78D4287C" w14:paraId="4A7EEE4D" w14:textId="15D1E00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8.5pt;height:28.5pt" o:bullet="t" type="#_x0000_t75">
        <v:imagedata o:title="Cross" r:id="rId1"/>
      </v:shape>
    </w:pict>
  </w:numPicBullet>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68C4E73"/>
    <w:multiLevelType w:val="multilevel"/>
    <w:tmpl w:val="BA82C632"/>
    <w:lvl w:ilvl="0">
      <w:start w:val="1"/>
      <w:numFmt w:val="decimal"/>
      <w:pStyle w:val="BrowneScheduleHeading"/>
      <w:lvlText w:val="Schedule %1"/>
      <w:lvlJc w:val="left"/>
      <w:pPr>
        <w:tabs>
          <w:tab w:val="num" w:pos="1361"/>
        </w:tabs>
        <w:ind w:left="1361" w:hanging="1361"/>
      </w:pPr>
      <w:rPr>
        <w:rFonts w:hint="default" w:ascii="Arial Bold" w:hAnsi="Arial Bold" w:cs="Arial"/>
        <w:b/>
        <w:i w:val="0"/>
        <w:color w:val="000000" w:themeColor="text2"/>
        <w:sz w:val="21"/>
      </w:rPr>
    </w:lvl>
    <w:lvl w:ilvl="1">
      <w:start w:val="1"/>
      <w:numFmt w:val="decimal"/>
      <w:pStyle w:val="BrowneSchedule1"/>
      <w:lvlText w:val="%2"/>
      <w:lvlJc w:val="left"/>
      <w:pPr>
        <w:tabs>
          <w:tab w:val="num" w:pos="624"/>
        </w:tabs>
        <w:ind w:left="624" w:hanging="624"/>
      </w:pPr>
      <w:rPr>
        <w:rFonts w:hint="default" w:ascii="Arial" w:hAnsi="Arial" w:cs="Arial"/>
        <w:b w:val="0"/>
        <w:i w:val="0"/>
        <w:color w:val="000000" w:themeColor="text1"/>
        <w:sz w:val="21"/>
      </w:rPr>
    </w:lvl>
    <w:lvl w:ilvl="2">
      <w:start w:val="1"/>
      <w:numFmt w:val="decimal"/>
      <w:pStyle w:val="BrowneSchedule2"/>
      <w:lvlText w:val="%2.%3"/>
      <w:lvlJc w:val="left"/>
      <w:pPr>
        <w:tabs>
          <w:tab w:val="num" w:pos="624"/>
        </w:tabs>
        <w:ind w:left="624" w:hanging="624"/>
      </w:pPr>
      <w:rPr>
        <w:rFonts w:hint="default" w:ascii="Arial" w:hAnsi="Arial" w:cs="Arial"/>
        <w:sz w:val="21"/>
      </w:rPr>
    </w:lvl>
    <w:lvl w:ilvl="3">
      <w:start w:val="1"/>
      <w:numFmt w:val="decimal"/>
      <w:pStyle w:val="BrowneSchedule3"/>
      <w:lvlText w:val="%2.%3.%4"/>
      <w:lvlJc w:val="left"/>
      <w:pPr>
        <w:tabs>
          <w:tab w:val="num" w:pos="1701"/>
        </w:tabs>
        <w:ind w:left="1701" w:hanging="1077"/>
      </w:pPr>
      <w:rPr>
        <w:rFonts w:hint="default" w:ascii="Arial" w:hAnsi="Arial" w:cs="Arial"/>
        <w:sz w:val="21"/>
      </w:rPr>
    </w:lvl>
    <w:lvl w:ilvl="4">
      <w:start w:val="1"/>
      <w:numFmt w:val="lowerLetter"/>
      <w:pStyle w:val="BrowneSchedule4"/>
      <w:lvlText w:val="(%5)"/>
      <w:lvlJc w:val="left"/>
      <w:pPr>
        <w:tabs>
          <w:tab w:val="num" w:pos="2268"/>
        </w:tabs>
        <w:ind w:left="2268" w:hanging="567"/>
      </w:pPr>
      <w:rPr>
        <w:rFonts w:hint="default" w:ascii="Arial" w:hAnsi="Arial" w:cs="Arial"/>
        <w:sz w:val="21"/>
      </w:rPr>
    </w:lvl>
    <w:lvl w:ilvl="5">
      <w:start w:val="1"/>
      <w:numFmt w:val="lowerRoman"/>
      <w:pStyle w:val="BrowneSchedule5"/>
      <w:lvlText w:val="(%6)"/>
      <w:lvlJc w:val="left"/>
      <w:pPr>
        <w:tabs>
          <w:tab w:val="num" w:pos="2835"/>
        </w:tabs>
        <w:ind w:left="2835" w:hanging="567"/>
      </w:pPr>
      <w:rPr>
        <w:rFonts w:hint="default" w:ascii="Arial" w:hAnsi="Arial" w:cs="Arial"/>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hint="default" w:ascii="Arial" w:hAnsi="Arial" w:cs="Arial"/>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hint="default" w:ascii="Georgia" w:hAnsi="Georgia"/>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hint="default" w:ascii="Arial" w:hAnsi="Arial" w:cs="Arial"/>
        <w:sz w:val="21"/>
      </w:rPr>
    </w:lvl>
    <w:lvl w:ilvl="3">
      <w:start w:val="1"/>
      <w:numFmt w:val="lowerRoman"/>
      <w:pStyle w:val="BrowneDefinition2"/>
      <w:lvlText w:val="(%4)"/>
      <w:lvlJc w:val="left"/>
      <w:pPr>
        <w:tabs>
          <w:tab w:val="num" w:pos="1673"/>
        </w:tabs>
        <w:ind w:left="1673" w:hanging="426"/>
      </w:pPr>
      <w:rPr>
        <w:rFonts w:hint="default" w:ascii="Arial" w:hAnsi="Arial" w:cs="Arial"/>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hint="default" w:ascii="Arial Bold" w:hAnsi="Arial Bold"/>
        <w:b/>
        <w:i w:val="0"/>
        <w:color w:val="4B0A28" w:themeColor="accent1"/>
        <w:sz w:val="21"/>
      </w:rPr>
    </w:lvl>
    <w:lvl w:ilvl="1">
      <w:start w:val="1"/>
      <w:numFmt w:val="lowerLetter"/>
      <w:pStyle w:val="Browneheadingnumber2"/>
      <w:lvlText w:val="%2."/>
      <w:lvlJc w:val="left"/>
      <w:pPr>
        <w:tabs>
          <w:tab w:val="num" w:pos="714"/>
        </w:tabs>
        <w:ind w:left="714" w:hanging="357"/>
      </w:pPr>
      <w:rPr>
        <w:rFonts w:hint="default" w:ascii="Arial" w:hAnsi="Arial"/>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hint="default" w:ascii="Arial" w:hAnsi="Arial"/>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hint="default" w:ascii="Symbol" w:hAnsi="Symbol"/>
        <w:color w:val="000000"/>
      </w:rPr>
    </w:lvl>
    <w:lvl w:ilvl="1">
      <w:start w:val="1"/>
      <w:numFmt w:val="bullet"/>
      <w:pStyle w:val="BrowneBulletLevel2"/>
      <w:lvlText w:val=""/>
      <w:lvlJc w:val="left"/>
      <w:pPr>
        <w:tabs>
          <w:tab w:val="num" w:pos="454"/>
        </w:tabs>
        <w:ind w:left="454" w:hanging="227"/>
      </w:pPr>
      <w:rPr>
        <w:rFonts w:hint="default" w:ascii="Symbol" w:hAnsi="Symbol"/>
        <w:color w:val="666666"/>
      </w:rPr>
    </w:lvl>
    <w:lvl w:ilvl="2">
      <w:start w:val="1"/>
      <w:numFmt w:val="bullet"/>
      <w:pStyle w:val="BrowneBulletLevel3"/>
      <w:lvlText w:val="–"/>
      <w:lvlJc w:val="left"/>
      <w:pPr>
        <w:tabs>
          <w:tab w:val="num" w:pos="680"/>
        </w:tabs>
        <w:ind w:left="680" w:hanging="226"/>
      </w:pPr>
      <w:rPr>
        <w:rFonts w:hint="default" w:ascii="Arial Bold" w:hAnsi="Arial Bold"/>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18066BD"/>
    <w:multiLevelType w:val="multilevel"/>
    <w:tmpl w:val="575E3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6D318E8"/>
    <w:multiLevelType w:val="hybridMultilevel"/>
    <w:tmpl w:val="3F40D35A"/>
    <w:lvl w:ilvl="0" w:tplc="BB2E6C3E">
      <w:start w:val="1"/>
      <w:numFmt w:val="bullet"/>
      <w:pStyle w:val="BrowneBioBullet"/>
      <w:lvlText w:val=""/>
      <w:lvlJc w:val="left"/>
      <w:pPr>
        <w:ind w:left="720" w:hanging="360"/>
      </w:pPr>
      <w:rPr>
        <w:rFonts w:hint="default" w:ascii="Symbol" w:hAnsi="Symbol"/>
        <w:color w:val="A58594" w:themeColor="accent4"/>
      </w:rPr>
    </w:lvl>
    <w:lvl w:ilvl="1" w:tplc="1E32B556" w:tentative="1">
      <w:start w:val="1"/>
      <w:numFmt w:val="bullet"/>
      <w:lvlText w:val="o"/>
      <w:lvlJc w:val="left"/>
      <w:pPr>
        <w:ind w:left="1440" w:hanging="360"/>
      </w:pPr>
      <w:rPr>
        <w:rFonts w:hint="default" w:ascii="Courier New" w:hAnsi="Courier New" w:cs="Courier New"/>
      </w:rPr>
    </w:lvl>
    <w:lvl w:ilvl="2" w:tplc="4788B592" w:tentative="1">
      <w:start w:val="1"/>
      <w:numFmt w:val="bullet"/>
      <w:lvlText w:val=""/>
      <w:lvlJc w:val="left"/>
      <w:pPr>
        <w:ind w:left="2160" w:hanging="360"/>
      </w:pPr>
      <w:rPr>
        <w:rFonts w:hint="default" w:ascii="Wingdings" w:hAnsi="Wingdings"/>
      </w:rPr>
    </w:lvl>
    <w:lvl w:ilvl="3" w:tplc="4060116C" w:tentative="1">
      <w:start w:val="1"/>
      <w:numFmt w:val="bullet"/>
      <w:lvlText w:val=""/>
      <w:lvlJc w:val="left"/>
      <w:pPr>
        <w:ind w:left="2880" w:hanging="360"/>
      </w:pPr>
      <w:rPr>
        <w:rFonts w:hint="default" w:ascii="Symbol" w:hAnsi="Symbol"/>
      </w:rPr>
    </w:lvl>
    <w:lvl w:ilvl="4" w:tplc="DE2AA166" w:tentative="1">
      <w:start w:val="1"/>
      <w:numFmt w:val="bullet"/>
      <w:lvlText w:val="o"/>
      <w:lvlJc w:val="left"/>
      <w:pPr>
        <w:ind w:left="3600" w:hanging="360"/>
      </w:pPr>
      <w:rPr>
        <w:rFonts w:hint="default" w:ascii="Courier New" w:hAnsi="Courier New" w:cs="Courier New"/>
      </w:rPr>
    </w:lvl>
    <w:lvl w:ilvl="5" w:tplc="477CDADC" w:tentative="1">
      <w:start w:val="1"/>
      <w:numFmt w:val="bullet"/>
      <w:lvlText w:val=""/>
      <w:lvlJc w:val="left"/>
      <w:pPr>
        <w:ind w:left="4320" w:hanging="360"/>
      </w:pPr>
      <w:rPr>
        <w:rFonts w:hint="default" w:ascii="Wingdings" w:hAnsi="Wingdings"/>
      </w:rPr>
    </w:lvl>
    <w:lvl w:ilvl="6" w:tplc="C178A836" w:tentative="1">
      <w:start w:val="1"/>
      <w:numFmt w:val="bullet"/>
      <w:lvlText w:val=""/>
      <w:lvlJc w:val="left"/>
      <w:pPr>
        <w:ind w:left="5040" w:hanging="360"/>
      </w:pPr>
      <w:rPr>
        <w:rFonts w:hint="default" w:ascii="Symbol" w:hAnsi="Symbol"/>
      </w:rPr>
    </w:lvl>
    <w:lvl w:ilvl="7" w:tplc="B65C8F68" w:tentative="1">
      <w:start w:val="1"/>
      <w:numFmt w:val="bullet"/>
      <w:lvlText w:val="o"/>
      <w:lvlJc w:val="left"/>
      <w:pPr>
        <w:ind w:left="5760" w:hanging="360"/>
      </w:pPr>
      <w:rPr>
        <w:rFonts w:hint="default" w:ascii="Courier New" w:hAnsi="Courier New" w:cs="Courier New"/>
      </w:rPr>
    </w:lvl>
    <w:lvl w:ilvl="8" w:tplc="EDFA1050" w:tentative="1">
      <w:start w:val="1"/>
      <w:numFmt w:val="bullet"/>
      <w:lvlText w:val=""/>
      <w:lvlJc w:val="left"/>
      <w:pPr>
        <w:ind w:left="6480" w:hanging="360"/>
      </w:pPr>
      <w:rPr>
        <w:rFonts w:hint="default" w:ascii="Wingdings" w:hAnsi="Wingdings"/>
      </w:rPr>
    </w:lvl>
  </w:abstractNum>
  <w:abstractNum w:abstractNumId="21"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hint="default" w:ascii="Arial" w:hAnsi="Arial"/>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EA47D96"/>
    <w:multiLevelType w:val="multilevel"/>
    <w:tmpl w:val="74820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hint="default" w:ascii="Symbol" w:hAnsi="Symbol"/>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7694CD5"/>
    <w:multiLevelType w:val="multilevel"/>
    <w:tmpl w:val="A4027C7A"/>
    <w:numStyleLink w:val="BrowneDefinitions"/>
  </w:abstractNum>
  <w:abstractNum w:abstractNumId="26"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87E32FA"/>
    <w:multiLevelType w:val="multilevel"/>
    <w:tmpl w:val="45146B2C"/>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hint="default" w:ascii="Arial Bold" w:hAnsi="Arial Bold" w:cs="Arial"/>
        <w:b/>
        <w:i w:val="0"/>
        <w:color w:val="000000" w:themeColor="text1"/>
        <w:sz w:val="21"/>
      </w:rPr>
    </w:lvl>
    <w:lvl w:ilvl="1">
      <w:start w:val="1"/>
      <w:numFmt w:val="decimal"/>
      <w:lvlText w:val="%2"/>
      <w:lvlJc w:val="left"/>
      <w:pPr>
        <w:tabs>
          <w:tab w:val="num" w:pos="624"/>
        </w:tabs>
        <w:ind w:left="624" w:hanging="624"/>
      </w:pPr>
      <w:rPr>
        <w:rFonts w:hint="default" w:ascii="Arial" w:hAnsi="Arial" w:cs="Arial"/>
        <w:b w:val="0"/>
        <w:i w:val="0"/>
        <w:color w:val="000000" w:themeColor="text1"/>
        <w:sz w:val="21"/>
      </w:rPr>
    </w:lvl>
    <w:lvl w:ilvl="2">
      <w:start w:val="1"/>
      <w:numFmt w:val="decimal"/>
      <w:lvlText w:val="%2.%3"/>
      <w:lvlJc w:val="left"/>
      <w:pPr>
        <w:tabs>
          <w:tab w:val="num" w:pos="624"/>
        </w:tabs>
        <w:ind w:left="624" w:hanging="624"/>
      </w:pPr>
      <w:rPr>
        <w:rFonts w:hint="default" w:ascii="Arial" w:hAnsi="Arial" w:cs="Arial"/>
        <w:sz w:val="21"/>
      </w:rPr>
    </w:lvl>
    <w:lvl w:ilvl="3">
      <w:start w:val="1"/>
      <w:numFmt w:val="decimal"/>
      <w:lvlText w:val="%2.%3.%4"/>
      <w:lvlJc w:val="left"/>
      <w:pPr>
        <w:tabs>
          <w:tab w:val="num" w:pos="1701"/>
        </w:tabs>
        <w:ind w:left="1701" w:hanging="1077"/>
      </w:pPr>
      <w:rPr>
        <w:rFonts w:hint="default" w:ascii="Arial" w:hAnsi="Arial" w:cs="Arial"/>
        <w:sz w:val="21"/>
      </w:rPr>
    </w:lvl>
    <w:lvl w:ilvl="4">
      <w:start w:val="1"/>
      <w:numFmt w:val="lowerLetter"/>
      <w:lvlText w:val="(%5)"/>
      <w:lvlJc w:val="left"/>
      <w:pPr>
        <w:tabs>
          <w:tab w:val="num" w:pos="2268"/>
        </w:tabs>
        <w:ind w:left="2268" w:hanging="567"/>
      </w:pPr>
      <w:rPr>
        <w:rFonts w:hint="default" w:ascii="Arial" w:hAnsi="Arial" w:cs="Arial"/>
        <w:sz w:val="21"/>
      </w:rPr>
    </w:lvl>
    <w:lvl w:ilvl="5">
      <w:start w:val="1"/>
      <w:numFmt w:val="lowerRoman"/>
      <w:lvlText w:val="(%6)"/>
      <w:lvlJc w:val="left"/>
      <w:pPr>
        <w:tabs>
          <w:tab w:val="num" w:pos="2835"/>
        </w:tabs>
        <w:ind w:left="2835" w:hanging="567"/>
      </w:pPr>
      <w:rPr>
        <w:rFonts w:hint="default" w:ascii="Arial" w:hAnsi="Arial" w:cs="Arial"/>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hint="default" w:ascii="Arial" w:hAnsi="Arial" w:cs="Arial"/>
        <w:b w:val="0"/>
        <w:i w:val="0"/>
        <w:color w:val="000000" w:themeColor="text1"/>
        <w:sz w:val="21"/>
      </w:rPr>
    </w:lvl>
    <w:lvl w:ilvl="1">
      <w:start w:val="1"/>
      <w:numFmt w:val="decimal"/>
      <w:lvlText w:val="%1.%2"/>
      <w:lvlJc w:val="left"/>
      <w:pPr>
        <w:tabs>
          <w:tab w:val="num" w:pos="624"/>
        </w:tabs>
        <w:ind w:left="624" w:hanging="624"/>
      </w:pPr>
      <w:rPr>
        <w:rFonts w:hint="default" w:ascii="Arial" w:hAnsi="Arial" w:cs="Arial"/>
        <w:b w:val="0"/>
        <w:i w:val="0"/>
        <w:color w:val="000000" w:themeColor="text1"/>
        <w:sz w:val="21"/>
      </w:rPr>
    </w:lvl>
    <w:lvl w:ilvl="2">
      <w:start w:val="1"/>
      <w:numFmt w:val="decimal"/>
      <w:lvlText w:val="%1.%2.%3"/>
      <w:lvlJc w:val="left"/>
      <w:pPr>
        <w:tabs>
          <w:tab w:val="num" w:pos="1701"/>
        </w:tabs>
        <w:ind w:left="1701" w:hanging="1077"/>
      </w:pPr>
      <w:rPr>
        <w:rFonts w:hint="default" w:ascii="Arial" w:hAnsi="Arial" w:cs="Arial"/>
        <w:b w:val="0"/>
        <w:i w:val="0"/>
        <w:color w:val="000000" w:themeColor="text1"/>
        <w:sz w:val="21"/>
      </w:rPr>
    </w:lvl>
    <w:lvl w:ilvl="3">
      <w:start w:val="1"/>
      <w:numFmt w:val="lowerLetter"/>
      <w:lvlText w:val="(%4)"/>
      <w:lvlJc w:val="left"/>
      <w:pPr>
        <w:tabs>
          <w:tab w:val="num" w:pos="2268"/>
        </w:tabs>
        <w:ind w:left="2268" w:hanging="567"/>
      </w:pPr>
      <w:rPr>
        <w:rFonts w:hint="default" w:ascii="Arial" w:hAnsi="Arial" w:cs="Arial"/>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2243D80"/>
    <w:multiLevelType w:val="multilevel"/>
    <w:tmpl w:val="F706300C"/>
    <w:numStyleLink w:val="BrowneTableBullets"/>
  </w:abstractNum>
  <w:abstractNum w:abstractNumId="34"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hint="default" w:ascii="Arial Bold" w:hAnsi="Arial Bold"/>
        <w:b/>
        <w:i w:val="0"/>
        <w:color w:val="4B0A28" w:themeColor="accent1"/>
        <w:sz w:val="24"/>
      </w:rPr>
    </w:lvl>
    <w:lvl w:ilvl="1">
      <w:start w:val="1"/>
      <w:numFmt w:val="lowerLetter"/>
      <w:lvlText w:val="%2."/>
      <w:lvlJc w:val="left"/>
      <w:pPr>
        <w:tabs>
          <w:tab w:val="num" w:pos="714"/>
        </w:tabs>
        <w:ind w:left="714" w:hanging="357"/>
      </w:pPr>
      <w:rPr>
        <w:rFonts w:hint="default" w:ascii="Arial" w:hAnsi="Arial"/>
        <w:b w:val="0"/>
        <w:i w:val="0"/>
        <w:color w:val="000000" w:themeColor="text1"/>
        <w:sz w:val="21"/>
      </w:rPr>
    </w:lvl>
    <w:lvl w:ilvl="2">
      <w:start w:val="1"/>
      <w:numFmt w:val="lowerRoman"/>
      <w:lvlRestart w:val="1"/>
      <w:lvlText w:val="%3."/>
      <w:lvlJc w:val="left"/>
      <w:pPr>
        <w:tabs>
          <w:tab w:val="num" w:pos="1072"/>
        </w:tabs>
        <w:ind w:left="1072" w:hanging="358"/>
      </w:pPr>
      <w:rPr>
        <w:rFonts w:hint="default" w:ascii="Arial" w:hAnsi="Arial"/>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hint="default" w:ascii="Arial Bold" w:hAnsi="Arial Bold" w:cs="Arial"/>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hint="default" w:ascii="Arial" w:hAnsi="Arial"/>
        <w:b w:val="0"/>
        <w:i w:val="0"/>
        <w:color w:val="000000" w:themeColor="text1"/>
        <w:sz w:val="21"/>
      </w:rPr>
    </w:lvl>
    <w:lvl w:ilvl="1">
      <w:start w:val="1"/>
      <w:numFmt w:val="lowerLetter"/>
      <w:lvlText w:val="%2."/>
      <w:lvlJc w:val="left"/>
      <w:pPr>
        <w:tabs>
          <w:tab w:val="num" w:pos="714"/>
        </w:tabs>
        <w:ind w:left="714" w:hanging="357"/>
      </w:pPr>
      <w:rPr>
        <w:rFonts w:hint="default" w:ascii="Arial" w:hAnsi="Arial"/>
        <w:b w:val="0"/>
        <w:i w:val="0"/>
        <w:color w:val="000000"/>
        <w:sz w:val="21"/>
      </w:rPr>
    </w:lvl>
    <w:lvl w:ilvl="2">
      <w:start w:val="1"/>
      <w:numFmt w:val="lowerRoman"/>
      <w:lvlText w:val="%3."/>
      <w:lvlJc w:val="left"/>
      <w:pPr>
        <w:tabs>
          <w:tab w:val="num" w:pos="1072"/>
        </w:tabs>
        <w:ind w:left="1072" w:hanging="358"/>
      </w:pPr>
      <w:rPr>
        <w:rFonts w:hint="default" w:ascii="Arial" w:hAnsi="Arial"/>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1C3280F"/>
    <w:multiLevelType w:val="multilevel"/>
    <w:tmpl w:val="79AC4052"/>
    <w:numStyleLink w:val="BrowneTable"/>
  </w:abstractNum>
  <w:abstractNum w:abstractNumId="38" w15:restartNumberingAfterBreak="0">
    <w:nsid w:val="74CC1004"/>
    <w:multiLevelType w:val="multilevel"/>
    <w:tmpl w:val="3C585D12"/>
    <w:numStyleLink w:val="BrowneBulletList"/>
  </w:abstractNum>
  <w:abstractNum w:abstractNumId="39"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hint="default" w:ascii="Arial" w:hAnsi="Arial"/>
        <w:b w:val="0"/>
        <w:i w:val="0"/>
        <w:color w:val="000000" w:themeColor="text1"/>
        <w:sz w:val="21"/>
      </w:rPr>
    </w:lvl>
    <w:lvl w:ilvl="1">
      <w:start w:val="1"/>
      <w:numFmt w:val="lowerLetter"/>
      <w:pStyle w:val="BrowneNumberLevel2"/>
      <w:lvlText w:val="%2."/>
      <w:lvlJc w:val="left"/>
      <w:pPr>
        <w:tabs>
          <w:tab w:val="num" w:pos="714"/>
        </w:tabs>
        <w:ind w:left="714" w:hanging="357"/>
      </w:pPr>
      <w:rPr>
        <w:rFonts w:hint="default" w:ascii="Arial" w:hAnsi="Arial"/>
        <w:b w:val="0"/>
        <w:i w:val="0"/>
        <w:color w:val="000000"/>
        <w:sz w:val="21"/>
      </w:rPr>
    </w:lvl>
    <w:lvl w:ilvl="2">
      <w:start w:val="1"/>
      <w:numFmt w:val="lowerRoman"/>
      <w:pStyle w:val="BrowneNumberLevel3"/>
      <w:lvlText w:val="%3."/>
      <w:lvlJc w:val="left"/>
      <w:pPr>
        <w:tabs>
          <w:tab w:val="num" w:pos="1072"/>
        </w:tabs>
        <w:ind w:left="1072" w:hanging="358"/>
      </w:pPr>
      <w:rPr>
        <w:rFonts w:hint="default" w:ascii="Arial" w:hAnsi="Arial"/>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6669260">
    <w:abstractNumId w:val="16"/>
  </w:num>
  <w:num w:numId="2" w16cid:durableId="1606302320">
    <w:abstractNumId w:val="40"/>
  </w:num>
  <w:num w:numId="3" w16cid:durableId="1847088586">
    <w:abstractNumId w:val="17"/>
    <w:lvlOverride w:ilvl="0">
      <w:lvl w:ilvl="0">
        <w:start w:val="1"/>
        <w:numFmt w:val="upperRoman"/>
        <w:pStyle w:val="Heading1"/>
        <w:lvlText w:val="Article %1."/>
        <w:lvlJc w:val="left"/>
        <w:pPr>
          <w:ind w:left="0" w:firstLine="0"/>
        </w:pPr>
      </w:lvl>
    </w:lvlOverride>
  </w:num>
  <w:num w:numId="4" w16cid:durableId="1017654208">
    <w:abstractNumId w:val="35"/>
  </w:num>
  <w:num w:numId="5" w16cid:durableId="444890742">
    <w:abstractNumId w:val="18"/>
  </w:num>
  <w:num w:numId="6" w16cid:durableId="1772778088">
    <w:abstractNumId w:val="26"/>
  </w:num>
  <w:num w:numId="7" w16cid:durableId="1998266929">
    <w:abstractNumId w:val="20"/>
  </w:num>
  <w:num w:numId="8" w16cid:durableId="1825703491">
    <w:abstractNumId w:val="38"/>
    <w:lvlOverride w:ilvl="0">
      <w:lvl w:ilvl="0">
        <w:start w:val="1"/>
        <w:numFmt w:val="bullet"/>
        <w:pStyle w:val="BrowneBulletLevel1"/>
        <w:lvlText w:val=""/>
        <w:lvlJc w:val="left"/>
        <w:pPr>
          <w:tabs>
            <w:tab w:val="num" w:pos="227"/>
          </w:tabs>
          <w:ind w:left="227" w:hanging="227"/>
        </w:pPr>
        <w:rPr>
          <w:rFonts w:hint="default" w:ascii="Symbol" w:hAnsi="Symbol"/>
          <w:color w:val="000000"/>
        </w:rPr>
      </w:lvl>
    </w:lvlOverride>
  </w:num>
  <w:num w:numId="9" w16cid:durableId="1352679636">
    <w:abstractNumId w:val="15"/>
  </w:num>
  <w:num w:numId="10" w16cid:durableId="476528641">
    <w:abstractNumId w:val="28"/>
  </w:num>
  <w:num w:numId="11" w16cid:durableId="280579063">
    <w:abstractNumId w:val="30"/>
  </w:num>
  <w:num w:numId="12" w16cid:durableId="786582162">
    <w:abstractNumId w:val="25"/>
  </w:num>
  <w:num w:numId="13" w16cid:durableId="654920314">
    <w:abstractNumId w:val="13"/>
  </w:num>
  <w:num w:numId="14" w16cid:durableId="1580552998">
    <w:abstractNumId w:val="31"/>
  </w:num>
  <w:num w:numId="15" w16cid:durableId="1808546240">
    <w:abstractNumId w:val="39"/>
  </w:num>
  <w:num w:numId="16" w16cid:durableId="233660726">
    <w:abstractNumId w:val="36"/>
  </w:num>
  <w:num w:numId="17" w16cid:durableId="702097346">
    <w:abstractNumId w:val="11"/>
  </w:num>
  <w:num w:numId="18" w16cid:durableId="1433863726">
    <w:abstractNumId w:val="12"/>
  </w:num>
  <w:num w:numId="19" w16cid:durableId="64190442">
    <w:abstractNumId w:val="32"/>
  </w:num>
  <w:num w:numId="20" w16cid:durableId="1765344512">
    <w:abstractNumId w:val="23"/>
  </w:num>
  <w:num w:numId="21" w16cid:durableId="1223977559">
    <w:abstractNumId w:val="10"/>
  </w:num>
  <w:num w:numId="22" w16cid:durableId="1365714574">
    <w:abstractNumId w:val="29"/>
  </w:num>
  <w:num w:numId="23" w16cid:durableId="1345550528">
    <w:abstractNumId w:val="21"/>
  </w:num>
  <w:num w:numId="24" w16cid:durableId="1832524250">
    <w:abstractNumId w:val="37"/>
  </w:num>
  <w:num w:numId="25" w16cid:durableId="1770008634">
    <w:abstractNumId w:val="33"/>
  </w:num>
  <w:num w:numId="26" w16cid:durableId="1424688357">
    <w:abstractNumId w:val="24"/>
  </w:num>
  <w:num w:numId="27" w16cid:durableId="280839077">
    <w:abstractNumId w:val="14"/>
  </w:num>
  <w:num w:numId="28" w16cid:durableId="745029009">
    <w:abstractNumId w:val="34"/>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463813912">
    <w:abstractNumId w:val="17"/>
  </w:num>
  <w:num w:numId="40" w16cid:durableId="95685752">
    <w:abstractNumId w:val="27"/>
  </w:num>
  <w:num w:numId="41" w16cid:durableId="167445285">
    <w:abstractNumId w:val="28"/>
  </w:num>
  <w:num w:numId="42" w16cid:durableId="2088719644">
    <w:abstractNumId w:val="28"/>
  </w:num>
  <w:num w:numId="43" w16cid:durableId="485633750">
    <w:abstractNumId w:val="28"/>
  </w:num>
  <w:num w:numId="44" w16cid:durableId="1841577815">
    <w:abstractNumId w:val="19"/>
  </w:num>
  <w:num w:numId="45" w16cid:durableId="520628823">
    <w:abstractNumId w:val="22"/>
  </w:num>
  <w:num w:numId="46" w16cid:durableId="1285766925">
    <w:abstractNumId w:val="38"/>
    <w:lvlOverride w:ilvl="0">
      <w:lvl w:ilvl="0">
        <w:start w:val="1"/>
        <w:numFmt w:val="bullet"/>
        <w:pStyle w:val="BrowneBulletLevel1"/>
        <w:lvlText w:val=""/>
        <w:lvlJc w:val="left"/>
        <w:pPr>
          <w:tabs>
            <w:tab w:val="num" w:pos="227"/>
          </w:tabs>
          <w:ind w:left="227" w:hanging="227"/>
        </w:pPr>
        <w:rPr>
          <w:rFonts w:hint="default" w:ascii="Symbol" w:hAnsi="Symbol"/>
          <w:color w:val="000000"/>
        </w:rPr>
      </w:lvl>
    </w:lvlOverride>
  </w:num>
  <w:num w:numId="47" w16cid:durableId="1015766988">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BusinessUnitID" w:val="BPR"/>
    <w:docVar w:name="TMS_CultureID" w:val="EnglishUK"/>
    <w:docVar w:name="TMS_OfficeID" w:val="Nottingham"/>
    <w:docVar w:name="TMS_TEMPLATE_ID" w:val="Blank"/>
  </w:docVars>
  <w:rsids>
    <w:rsidRoot w:val="004B1832"/>
    <w:rsid w:val="00005046"/>
    <w:rsid w:val="000144E4"/>
    <w:rsid w:val="00021B30"/>
    <w:rsid w:val="00025E10"/>
    <w:rsid w:val="000314B9"/>
    <w:rsid w:val="0003375D"/>
    <w:rsid w:val="000457A6"/>
    <w:rsid w:val="00071DE8"/>
    <w:rsid w:val="00080A4B"/>
    <w:rsid w:val="00096FFD"/>
    <w:rsid w:val="000A18C5"/>
    <w:rsid w:val="000A5F63"/>
    <w:rsid w:val="000A6312"/>
    <w:rsid w:val="000C0FCE"/>
    <w:rsid w:val="000C3395"/>
    <w:rsid w:val="000C6900"/>
    <w:rsid w:val="000D262C"/>
    <w:rsid w:val="000E5353"/>
    <w:rsid w:val="001032CC"/>
    <w:rsid w:val="00115547"/>
    <w:rsid w:val="001166F3"/>
    <w:rsid w:val="00126814"/>
    <w:rsid w:val="00131625"/>
    <w:rsid w:val="00132E9E"/>
    <w:rsid w:val="00134CBC"/>
    <w:rsid w:val="00137DDC"/>
    <w:rsid w:val="00155CCE"/>
    <w:rsid w:val="00155FD9"/>
    <w:rsid w:val="00175070"/>
    <w:rsid w:val="00180850"/>
    <w:rsid w:val="00183547"/>
    <w:rsid w:val="0018694A"/>
    <w:rsid w:val="001A4DCE"/>
    <w:rsid w:val="001B0335"/>
    <w:rsid w:val="001B3B2E"/>
    <w:rsid w:val="001B5850"/>
    <w:rsid w:val="001B63BD"/>
    <w:rsid w:val="001C5383"/>
    <w:rsid w:val="001D3E6C"/>
    <w:rsid w:val="001E107D"/>
    <w:rsid w:val="001E3AB0"/>
    <w:rsid w:val="001E4511"/>
    <w:rsid w:val="001F6D00"/>
    <w:rsid w:val="001F7210"/>
    <w:rsid w:val="0020068E"/>
    <w:rsid w:val="002148DB"/>
    <w:rsid w:val="00219BD2"/>
    <w:rsid w:val="00221BE5"/>
    <w:rsid w:val="002221DE"/>
    <w:rsid w:val="002240D0"/>
    <w:rsid w:val="00227B2C"/>
    <w:rsid w:val="00227FCE"/>
    <w:rsid w:val="00230080"/>
    <w:rsid w:val="00250792"/>
    <w:rsid w:val="00261180"/>
    <w:rsid w:val="00262919"/>
    <w:rsid w:val="00266ACA"/>
    <w:rsid w:val="00271825"/>
    <w:rsid w:val="0028343E"/>
    <w:rsid w:val="00283B00"/>
    <w:rsid w:val="002C496C"/>
    <w:rsid w:val="002C5783"/>
    <w:rsid w:val="002D377D"/>
    <w:rsid w:val="002D5B30"/>
    <w:rsid w:val="002F549D"/>
    <w:rsid w:val="00305103"/>
    <w:rsid w:val="00346D99"/>
    <w:rsid w:val="00347155"/>
    <w:rsid w:val="00350133"/>
    <w:rsid w:val="00357625"/>
    <w:rsid w:val="003608F8"/>
    <w:rsid w:val="00360E99"/>
    <w:rsid w:val="00365F01"/>
    <w:rsid w:val="00366C10"/>
    <w:rsid w:val="0036731A"/>
    <w:rsid w:val="00367794"/>
    <w:rsid w:val="00371E7C"/>
    <w:rsid w:val="0037270A"/>
    <w:rsid w:val="003866C3"/>
    <w:rsid w:val="00394471"/>
    <w:rsid w:val="003A0357"/>
    <w:rsid w:val="003B34FB"/>
    <w:rsid w:val="003C5BA8"/>
    <w:rsid w:val="003C6695"/>
    <w:rsid w:val="003E124C"/>
    <w:rsid w:val="003E79C3"/>
    <w:rsid w:val="003F4E09"/>
    <w:rsid w:val="003F6315"/>
    <w:rsid w:val="004000DA"/>
    <w:rsid w:val="00405BA5"/>
    <w:rsid w:val="004228EA"/>
    <w:rsid w:val="0044188D"/>
    <w:rsid w:val="004446F2"/>
    <w:rsid w:val="00457D3C"/>
    <w:rsid w:val="00465F15"/>
    <w:rsid w:val="00467C72"/>
    <w:rsid w:val="004738F4"/>
    <w:rsid w:val="00493510"/>
    <w:rsid w:val="004A521D"/>
    <w:rsid w:val="004A6D07"/>
    <w:rsid w:val="004B1832"/>
    <w:rsid w:val="004B2924"/>
    <w:rsid w:val="004B72C5"/>
    <w:rsid w:val="004C64E4"/>
    <w:rsid w:val="004D2462"/>
    <w:rsid w:val="004D4985"/>
    <w:rsid w:val="004D5AD5"/>
    <w:rsid w:val="004D6442"/>
    <w:rsid w:val="004E2A95"/>
    <w:rsid w:val="004F66D7"/>
    <w:rsid w:val="004F76BA"/>
    <w:rsid w:val="00502125"/>
    <w:rsid w:val="00503025"/>
    <w:rsid w:val="00505835"/>
    <w:rsid w:val="00510A16"/>
    <w:rsid w:val="00514F5C"/>
    <w:rsid w:val="005311D4"/>
    <w:rsid w:val="005345D9"/>
    <w:rsid w:val="00536DF2"/>
    <w:rsid w:val="005416DB"/>
    <w:rsid w:val="005443CC"/>
    <w:rsid w:val="0055078A"/>
    <w:rsid w:val="0055260D"/>
    <w:rsid w:val="005538BA"/>
    <w:rsid w:val="00553EAE"/>
    <w:rsid w:val="00573EAD"/>
    <w:rsid w:val="005761CC"/>
    <w:rsid w:val="00587364"/>
    <w:rsid w:val="00590C74"/>
    <w:rsid w:val="00593051"/>
    <w:rsid w:val="00595150"/>
    <w:rsid w:val="00595BAE"/>
    <w:rsid w:val="0059722A"/>
    <w:rsid w:val="005A0E8A"/>
    <w:rsid w:val="005A5E29"/>
    <w:rsid w:val="005B70EE"/>
    <w:rsid w:val="005B7F96"/>
    <w:rsid w:val="005C2BF6"/>
    <w:rsid w:val="005C3C59"/>
    <w:rsid w:val="005C4A5C"/>
    <w:rsid w:val="005C7B78"/>
    <w:rsid w:val="00615FBF"/>
    <w:rsid w:val="00623CA6"/>
    <w:rsid w:val="00642C6A"/>
    <w:rsid w:val="00647832"/>
    <w:rsid w:val="00660A0F"/>
    <w:rsid w:val="006631B9"/>
    <w:rsid w:val="00664E6B"/>
    <w:rsid w:val="00666FF2"/>
    <w:rsid w:val="00681105"/>
    <w:rsid w:val="00684C76"/>
    <w:rsid w:val="0068749D"/>
    <w:rsid w:val="00691621"/>
    <w:rsid w:val="006919F6"/>
    <w:rsid w:val="006A03B3"/>
    <w:rsid w:val="006A17F4"/>
    <w:rsid w:val="006C6B87"/>
    <w:rsid w:val="007031D5"/>
    <w:rsid w:val="007101BE"/>
    <w:rsid w:val="007260B8"/>
    <w:rsid w:val="00726B1A"/>
    <w:rsid w:val="00735916"/>
    <w:rsid w:val="00747955"/>
    <w:rsid w:val="0076067B"/>
    <w:rsid w:val="00765573"/>
    <w:rsid w:val="00786476"/>
    <w:rsid w:val="007974D3"/>
    <w:rsid w:val="007A13F7"/>
    <w:rsid w:val="007A2A7E"/>
    <w:rsid w:val="007A517E"/>
    <w:rsid w:val="007B70B4"/>
    <w:rsid w:val="007B740F"/>
    <w:rsid w:val="007C578B"/>
    <w:rsid w:val="008111BC"/>
    <w:rsid w:val="00814971"/>
    <w:rsid w:val="00820AE8"/>
    <w:rsid w:val="00823C62"/>
    <w:rsid w:val="008325EF"/>
    <w:rsid w:val="0085570A"/>
    <w:rsid w:val="00873CCC"/>
    <w:rsid w:val="008A744F"/>
    <w:rsid w:val="008B6529"/>
    <w:rsid w:val="008C0406"/>
    <w:rsid w:val="008C0FD8"/>
    <w:rsid w:val="008D30C9"/>
    <w:rsid w:val="008E0746"/>
    <w:rsid w:val="008E2599"/>
    <w:rsid w:val="008E2CC0"/>
    <w:rsid w:val="008F2B91"/>
    <w:rsid w:val="008F3AA3"/>
    <w:rsid w:val="008F6699"/>
    <w:rsid w:val="00900C77"/>
    <w:rsid w:val="00907DB4"/>
    <w:rsid w:val="00914405"/>
    <w:rsid w:val="00914499"/>
    <w:rsid w:val="0092016E"/>
    <w:rsid w:val="0093019A"/>
    <w:rsid w:val="009351B1"/>
    <w:rsid w:val="009376AE"/>
    <w:rsid w:val="009459DC"/>
    <w:rsid w:val="00954379"/>
    <w:rsid w:val="00961B51"/>
    <w:rsid w:val="009721A9"/>
    <w:rsid w:val="009839C0"/>
    <w:rsid w:val="00990C18"/>
    <w:rsid w:val="00990DCA"/>
    <w:rsid w:val="00993148"/>
    <w:rsid w:val="00996C8D"/>
    <w:rsid w:val="009A35C7"/>
    <w:rsid w:val="009A65B4"/>
    <w:rsid w:val="009B523C"/>
    <w:rsid w:val="009B523D"/>
    <w:rsid w:val="009C155C"/>
    <w:rsid w:val="009C1E29"/>
    <w:rsid w:val="009C2B2B"/>
    <w:rsid w:val="009C34A8"/>
    <w:rsid w:val="009D0D99"/>
    <w:rsid w:val="009D42BE"/>
    <w:rsid w:val="009F2A67"/>
    <w:rsid w:val="009F625C"/>
    <w:rsid w:val="00A03E7C"/>
    <w:rsid w:val="00A10302"/>
    <w:rsid w:val="00A14CF1"/>
    <w:rsid w:val="00A1785F"/>
    <w:rsid w:val="00A70567"/>
    <w:rsid w:val="00A75F64"/>
    <w:rsid w:val="00A7650B"/>
    <w:rsid w:val="00A77595"/>
    <w:rsid w:val="00A86ACA"/>
    <w:rsid w:val="00A87DEF"/>
    <w:rsid w:val="00A9157E"/>
    <w:rsid w:val="00A96E1B"/>
    <w:rsid w:val="00AA279A"/>
    <w:rsid w:val="00AA56DC"/>
    <w:rsid w:val="00AA5DD3"/>
    <w:rsid w:val="00AB02F7"/>
    <w:rsid w:val="00AF019D"/>
    <w:rsid w:val="00AF02CE"/>
    <w:rsid w:val="00AF1734"/>
    <w:rsid w:val="00AF1CE7"/>
    <w:rsid w:val="00AF35E9"/>
    <w:rsid w:val="00AF3F9B"/>
    <w:rsid w:val="00AF5A68"/>
    <w:rsid w:val="00B00CEC"/>
    <w:rsid w:val="00B00D0D"/>
    <w:rsid w:val="00B17E09"/>
    <w:rsid w:val="00B205BD"/>
    <w:rsid w:val="00B3094C"/>
    <w:rsid w:val="00B40507"/>
    <w:rsid w:val="00B523C9"/>
    <w:rsid w:val="00B5686D"/>
    <w:rsid w:val="00B618FA"/>
    <w:rsid w:val="00B66AD9"/>
    <w:rsid w:val="00B84539"/>
    <w:rsid w:val="00BB0BEB"/>
    <w:rsid w:val="00BD3CEE"/>
    <w:rsid w:val="00BD7F55"/>
    <w:rsid w:val="00BE7EEF"/>
    <w:rsid w:val="00BF1F29"/>
    <w:rsid w:val="00BF1F9B"/>
    <w:rsid w:val="00BF24C3"/>
    <w:rsid w:val="00BF460F"/>
    <w:rsid w:val="00BF5B94"/>
    <w:rsid w:val="00C1353E"/>
    <w:rsid w:val="00C13A6F"/>
    <w:rsid w:val="00C14FEF"/>
    <w:rsid w:val="00C22D1A"/>
    <w:rsid w:val="00C25C68"/>
    <w:rsid w:val="00C30C7F"/>
    <w:rsid w:val="00C40C1A"/>
    <w:rsid w:val="00C4206C"/>
    <w:rsid w:val="00C54CB4"/>
    <w:rsid w:val="00C62C4D"/>
    <w:rsid w:val="00C65608"/>
    <w:rsid w:val="00C74702"/>
    <w:rsid w:val="00C83061"/>
    <w:rsid w:val="00C96867"/>
    <w:rsid w:val="00CA21B3"/>
    <w:rsid w:val="00CB4A77"/>
    <w:rsid w:val="00CC398D"/>
    <w:rsid w:val="00CE5720"/>
    <w:rsid w:val="00CE6C25"/>
    <w:rsid w:val="00D0033F"/>
    <w:rsid w:val="00D057A7"/>
    <w:rsid w:val="00D0706B"/>
    <w:rsid w:val="00D13497"/>
    <w:rsid w:val="00D145AD"/>
    <w:rsid w:val="00D17A8C"/>
    <w:rsid w:val="00D21171"/>
    <w:rsid w:val="00D25F32"/>
    <w:rsid w:val="00D515CD"/>
    <w:rsid w:val="00D51EA6"/>
    <w:rsid w:val="00D72FF4"/>
    <w:rsid w:val="00D839C9"/>
    <w:rsid w:val="00D84202"/>
    <w:rsid w:val="00D943C4"/>
    <w:rsid w:val="00DA005E"/>
    <w:rsid w:val="00DA27AC"/>
    <w:rsid w:val="00DA365F"/>
    <w:rsid w:val="00DB0719"/>
    <w:rsid w:val="00DD3926"/>
    <w:rsid w:val="00DD7C1F"/>
    <w:rsid w:val="00DE2C68"/>
    <w:rsid w:val="00DF06EF"/>
    <w:rsid w:val="00E03568"/>
    <w:rsid w:val="00E0782B"/>
    <w:rsid w:val="00E1301E"/>
    <w:rsid w:val="00E55891"/>
    <w:rsid w:val="00E61DD9"/>
    <w:rsid w:val="00E61F56"/>
    <w:rsid w:val="00E91985"/>
    <w:rsid w:val="00EA0D57"/>
    <w:rsid w:val="00EA4ECA"/>
    <w:rsid w:val="00EA76F0"/>
    <w:rsid w:val="00EA7E1E"/>
    <w:rsid w:val="00EB445C"/>
    <w:rsid w:val="00ED6049"/>
    <w:rsid w:val="00ED6DB3"/>
    <w:rsid w:val="00EE4B15"/>
    <w:rsid w:val="00EE5AD0"/>
    <w:rsid w:val="00F10035"/>
    <w:rsid w:val="00F128FB"/>
    <w:rsid w:val="00F1707F"/>
    <w:rsid w:val="00F22396"/>
    <w:rsid w:val="00F23DC9"/>
    <w:rsid w:val="00F33F53"/>
    <w:rsid w:val="00F47578"/>
    <w:rsid w:val="00F834F6"/>
    <w:rsid w:val="00F85ADB"/>
    <w:rsid w:val="00FA10DD"/>
    <w:rsid w:val="00FC047F"/>
    <w:rsid w:val="00FC1483"/>
    <w:rsid w:val="00FC3871"/>
    <w:rsid w:val="00FD1C97"/>
    <w:rsid w:val="00FF0AF2"/>
    <w:rsid w:val="00FF61B4"/>
    <w:rsid w:val="0851BED2"/>
    <w:rsid w:val="10C25EFE"/>
    <w:rsid w:val="14FAB5EF"/>
    <w:rsid w:val="1A68B3D5"/>
    <w:rsid w:val="237E6217"/>
    <w:rsid w:val="253468D6"/>
    <w:rsid w:val="2593C57F"/>
    <w:rsid w:val="35ECA4FD"/>
    <w:rsid w:val="385B2F9B"/>
    <w:rsid w:val="3FC68F5D"/>
    <w:rsid w:val="44116FD4"/>
    <w:rsid w:val="44BA1DB9"/>
    <w:rsid w:val="4A62075E"/>
    <w:rsid w:val="54B53E8E"/>
    <w:rsid w:val="57360EAB"/>
    <w:rsid w:val="578C8F63"/>
    <w:rsid w:val="593477F7"/>
    <w:rsid w:val="5DFEE5F0"/>
    <w:rsid w:val="5F0756F7"/>
    <w:rsid w:val="68F902AF"/>
    <w:rsid w:val="6CCC0553"/>
    <w:rsid w:val="71C8C725"/>
    <w:rsid w:val="72965A9F"/>
    <w:rsid w:val="74376FB4"/>
    <w:rsid w:val="78D4287C"/>
    <w:rsid w:val="79EBDE95"/>
    <w:rsid w:val="7F192A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A0898"/>
  <w15:docId w15:val="{B2928779-45A1-4B06-A349-934BBA13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styleId="Normal" w:default="1">
    <w:name w:val="Normal"/>
    <w:uiPriority w:val="5"/>
    <w:semiHidden/>
    <w:qFormat/>
    <w:rsid w:val="00F10035"/>
    <w:pPr>
      <w:spacing w:after="180" w:line="300" w:lineRule="auto"/>
      <w:jc w:val="both"/>
    </w:pPr>
    <w:rPr>
      <w:rFonts w:ascii="Arial" w:hAnsi="Arial"/>
    </w:rPr>
  </w:style>
  <w:style w:type="paragraph" w:styleId="Heading1">
    <w:name w:val="heading 1"/>
    <w:basedOn w:val="Normal"/>
    <w:next w:val="Normal"/>
    <w:link w:val="Heading1Char"/>
    <w:uiPriority w:val="14"/>
    <w:semiHidden/>
    <w:qFormat/>
    <w:rsid w:val="000314B9"/>
    <w:pPr>
      <w:keepNext/>
      <w:keepLines/>
      <w:numPr>
        <w:numId w:val="3"/>
      </w:numPr>
      <w:spacing w:before="240" w:after="0"/>
      <w:outlineLvl w:val="0"/>
    </w:pPr>
    <w:rPr>
      <w:rFonts w:asciiTheme="majorHAnsi" w:hAnsiTheme="majorHAnsi" w:eastAsiaTheme="majorEastAsia" w:cstheme="majorBidi"/>
      <w:color w:val="38071D" w:themeColor="accent1" w:themeShade="BF"/>
      <w:sz w:val="32"/>
      <w:szCs w:val="32"/>
    </w:rPr>
  </w:style>
  <w:style w:type="paragraph" w:styleId="Heading2">
    <w:name w:val="heading 2"/>
    <w:basedOn w:val="Normal"/>
    <w:next w:val="Normal"/>
    <w:link w:val="Heading2Char"/>
    <w:uiPriority w:val="14"/>
    <w:semiHidden/>
    <w:qFormat/>
    <w:rsid w:val="009459DC"/>
    <w:pPr>
      <w:keepNext/>
      <w:keepLines/>
      <w:numPr>
        <w:ilvl w:val="1"/>
        <w:numId w:val="3"/>
      </w:numPr>
      <w:spacing w:before="40" w:after="0"/>
      <w:outlineLvl w:val="1"/>
    </w:pPr>
    <w:rPr>
      <w:rFonts w:asciiTheme="majorHAnsi" w:hAnsiTheme="majorHAnsi" w:eastAsiaTheme="majorEastAsia" w:cstheme="majorBidi"/>
      <w:color w:val="38071D" w:themeColor="accent1" w:themeShade="BF"/>
      <w:sz w:val="26"/>
      <w:szCs w:val="26"/>
    </w:rPr>
  </w:style>
  <w:style w:type="paragraph" w:styleId="Heading3">
    <w:name w:val="heading 3"/>
    <w:basedOn w:val="Normal"/>
    <w:next w:val="Normal"/>
    <w:link w:val="Heading3Char"/>
    <w:uiPriority w:val="14"/>
    <w:semiHidden/>
    <w:qFormat/>
    <w:rsid w:val="009459DC"/>
    <w:pPr>
      <w:keepNext/>
      <w:keepLines/>
      <w:numPr>
        <w:ilvl w:val="2"/>
        <w:numId w:val="3"/>
      </w:numPr>
      <w:spacing w:before="40" w:after="0"/>
      <w:outlineLvl w:val="2"/>
    </w:pPr>
    <w:rPr>
      <w:rFonts w:asciiTheme="majorHAnsi" w:hAnsiTheme="majorHAnsi" w:eastAsiaTheme="majorEastAsia" w:cstheme="majorBidi"/>
      <w:color w:val="250513" w:themeColor="accent1" w:themeShade="7F"/>
      <w:sz w:val="24"/>
      <w:szCs w:val="24"/>
    </w:rPr>
  </w:style>
  <w:style w:type="paragraph" w:styleId="Heading4">
    <w:name w:val="heading 4"/>
    <w:basedOn w:val="Normal"/>
    <w:next w:val="Normal"/>
    <w:link w:val="Heading4Char"/>
    <w:uiPriority w:val="14"/>
    <w:semiHidden/>
    <w:qFormat/>
    <w:rsid w:val="009459DC"/>
    <w:pPr>
      <w:keepNext/>
      <w:keepLines/>
      <w:numPr>
        <w:ilvl w:val="3"/>
        <w:numId w:val="3"/>
      </w:numPr>
      <w:spacing w:before="40" w:after="0"/>
      <w:outlineLvl w:val="3"/>
    </w:pPr>
    <w:rPr>
      <w:rFonts w:asciiTheme="majorHAnsi" w:hAnsiTheme="majorHAnsi" w:eastAsiaTheme="majorEastAsia" w:cstheme="majorBidi"/>
      <w:i/>
      <w:iCs/>
      <w:color w:val="38071D" w:themeColor="accent1" w:themeShade="BF"/>
    </w:rPr>
  </w:style>
  <w:style w:type="paragraph" w:styleId="Heading5">
    <w:name w:val="heading 5"/>
    <w:basedOn w:val="Normal"/>
    <w:next w:val="Normal"/>
    <w:link w:val="Heading5Char"/>
    <w:uiPriority w:val="14"/>
    <w:semiHidden/>
    <w:qFormat/>
    <w:rsid w:val="009459DC"/>
    <w:pPr>
      <w:keepNext/>
      <w:keepLines/>
      <w:numPr>
        <w:ilvl w:val="4"/>
        <w:numId w:val="3"/>
      </w:numPr>
      <w:spacing w:before="40" w:after="0"/>
      <w:outlineLvl w:val="4"/>
    </w:pPr>
    <w:rPr>
      <w:rFonts w:asciiTheme="majorHAnsi" w:hAnsiTheme="majorHAnsi" w:eastAsiaTheme="majorEastAsia" w:cstheme="majorBidi"/>
      <w:color w:val="38071D" w:themeColor="accent1" w:themeShade="BF"/>
    </w:rPr>
  </w:style>
  <w:style w:type="paragraph" w:styleId="Heading6">
    <w:name w:val="heading 6"/>
    <w:basedOn w:val="Normal"/>
    <w:next w:val="Normal"/>
    <w:link w:val="Heading6Char"/>
    <w:uiPriority w:val="14"/>
    <w:semiHidden/>
    <w:qFormat/>
    <w:rsid w:val="009459DC"/>
    <w:pPr>
      <w:keepNext/>
      <w:keepLines/>
      <w:numPr>
        <w:ilvl w:val="5"/>
        <w:numId w:val="3"/>
      </w:numPr>
      <w:spacing w:before="40" w:after="0"/>
      <w:outlineLvl w:val="5"/>
    </w:pPr>
    <w:rPr>
      <w:rFonts w:asciiTheme="majorHAnsi" w:hAnsiTheme="majorHAnsi" w:eastAsiaTheme="majorEastAsia" w:cstheme="majorBidi"/>
      <w:color w:val="250513" w:themeColor="accent1" w:themeShade="7F"/>
    </w:rPr>
  </w:style>
  <w:style w:type="paragraph" w:styleId="Heading7">
    <w:name w:val="heading 7"/>
    <w:basedOn w:val="Normal"/>
    <w:next w:val="Normal"/>
    <w:link w:val="Heading7Char"/>
    <w:uiPriority w:val="14"/>
    <w:semiHidden/>
    <w:qFormat/>
    <w:rsid w:val="009459DC"/>
    <w:pPr>
      <w:keepNext/>
      <w:keepLines/>
      <w:numPr>
        <w:ilvl w:val="6"/>
        <w:numId w:val="3"/>
      </w:numPr>
      <w:spacing w:before="40" w:after="0"/>
      <w:outlineLvl w:val="6"/>
    </w:pPr>
    <w:rPr>
      <w:rFonts w:asciiTheme="majorHAnsi" w:hAnsiTheme="majorHAnsi" w:eastAsiaTheme="majorEastAsia" w:cstheme="majorBidi"/>
      <w:i/>
      <w:iCs/>
      <w:color w:val="250513"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3"/>
      </w:numPr>
      <w:spacing w:before="40" w:after="0"/>
      <w:outlineLvl w:val="7"/>
    </w:pPr>
    <w:rPr>
      <w:rFonts w:asciiTheme="majorHAnsi" w:hAnsiTheme="majorHAnsi" w:eastAsiaTheme="majorEastAsia"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hAnsiTheme="majorHAnsi" w:eastAsiaTheme="majorEastAsia" w:cstheme="majorBidi"/>
      <w:i/>
      <w:iCs/>
      <w:color w:val="272727" w:themeColor="text1" w:themeTint="D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4"/>
    <w:semiHidden/>
    <w:rsid w:val="000314B9"/>
    <w:rPr>
      <w:rFonts w:asciiTheme="majorHAnsi" w:hAnsiTheme="majorHAnsi" w:eastAsiaTheme="majorEastAsia" w:cstheme="majorBidi"/>
      <w:color w:val="38071D" w:themeColor="accent1" w:themeShade="BF"/>
      <w:sz w:val="32"/>
      <w:szCs w:val="32"/>
    </w:rPr>
  </w:style>
  <w:style w:type="paragraph" w:styleId="BodyText">
    <w:name w:val="Body Text"/>
    <w:basedOn w:val="Normal"/>
    <w:link w:val="BodyTextChar"/>
    <w:uiPriority w:val="99"/>
    <w:semiHidden/>
    <w:rsid w:val="002C496C"/>
  </w:style>
  <w:style w:type="character" w:styleId="BodyTextChar" w:customStyle="1">
    <w:name w:val="Body Text Char"/>
    <w:basedOn w:val="DefaultParagraphFont"/>
    <w:link w:val="BodyText"/>
    <w:uiPriority w:val="99"/>
    <w:semiHidden/>
    <w:rsid w:val="002C496C"/>
    <w:rPr>
      <w:rFonts w:ascii="Arial" w:hAnsi="Arial"/>
    </w:rPr>
  </w:style>
  <w:style w:type="paragraph" w:styleId="BodyText2">
    <w:name w:val="Body Text 2"/>
    <w:basedOn w:val="Normal"/>
    <w:link w:val="BodyText2Char"/>
    <w:uiPriority w:val="99"/>
    <w:semiHidden/>
    <w:rsid w:val="009459DC"/>
    <w:pPr>
      <w:spacing w:line="480" w:lineRule="auto"/>
    </w:pPr>
  </w:style>
  <w:style w:type="character" w:styleId="BodyText2Char" w:customStyle="1">
    <w:name w:val="Body Text 2 Char"/>
    <w:basedOn w:val="DefaultParagraphFont"/>
    <w:link w:val="BodyText2"/>
    <w:uiPriority w:val="99"/>
    <w:semiHidden/>
    <w:rsid w:val="009459DC"/>
    <w:rPr>
      <w:rFonts w:ascii="Arial" w:hAnsi="Arial"/>
    </w:rPr>
  </w:style>
  <w:style w:type="paragraph" w:styleId="BodyText3">
    <w:name w:val="Body Text 3"/>
    <w:basedOn w:val="Normal"/>
    <w:link w:val="BodyText3Char"/>
    <w:uiPriority w:val="99"/>
    <w:semiHidden/>
    <w:rsid w:val="00E55891"/>
    <w:rPr>
      <w:sz w:val="16"/>
      <w:szCs w:val="16"/>
    </w:rPr>
  </w:style>
  <w:style w:type="character" w:styleId="BodyText3Char" w:customStyle="1">
    <w:name w:val="Body Text 3 Char"/>
    <w:basedOn w:val="DefaultParagraphFont"/>
    <w:link w:val="BodyText3"/>
    <w:uiPriority w:val="99"/>
    <w:semiHidden/>
    <w:rsid w:val="00E55891"/>
    <w:rPr>
      <w:rFonts w:ascii="Arial" w:hAnsi="Arial"/>
      <w:sz w:val="16"/>
      <w:szCs w:val="16"/>
    </w:rPr>
  </w:style>
  <w:style w:type="character" w:styleId="Heading2Char" w:customStyle="1">
    <w:name w:val="Heading 2 Char"/>
    <w:basedOn w:val="DefaultParagraphFont"/>
    <w:link w:val="Heading2"/>
    <w:uiPriority w:val="14"/>
    <w:semiHidden/>
    <w:rsid w:val="00FA10DD"/>
    <w:rPr>
      <w:rFonts w:asciiTheme="majorHAnsi" w:hAnsiTheme="majorHAnsi" w:eastAsiaTheme="majorEastAsia" w:cstheme="majorBidi"/>
      <w:color w:val="38071D" w:themeColor="accent1" w:themeShade="BF"/>
      <w:sz w:val="26"/>
      <w:szCs w:val="26"/>
    </w:rPr>
  </w:style>
  <w:style w:type="paragraph" w:styleId="BalloonText">
    <w:name w:val="Balloon Text"/>
    <w:basedOn w:val="Normal"/>
    <w:link w:val="BalloonTextChar"/>
    <w:uiPriority w:val="99"/>
    <w:semiHidden/>
    <w:rsid w:val="009459D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459DC"/>
    <w:rPr>
      <w:rFonts w:ascii="Tahoma" w:hAnsi="Tahoma" w:cs="Tahoma"/>
      <w:sz w:val="16"/>
      <w:szCs w:val="16"/>
    </w:rPr>
  </w:style>
  <w:style w:type="character" w:styleId="Heading3Char" w:customStyle="1">
    <w:name w:val="Heading 3 Char"/>
    <w:basedOn w:val="DefaultParagraphFont"/>
    <w:link w:val="Heading3"/>
    <w:uiPriority w:val="9"/>
    <w:rsid w:val="009459DC"/>
    <w:rPr>
      <w:rFonts w:asciiTheme="majorHAnsi" w:hAnsiTheme="majorHAnsi" w:eastAsiaTheme="majorEastAsia" w:cstheme="majorBidi"/>
      <w:color w:val="250513" w:themeColor="accent1" w:themeShade="7F"/>
      <w:sz w:val="24"/>
      <w:szCs w:val="24"/>
    </w:rPr>
  </w:style>
  <w:style w:type="character" w:styleId="Heading4Char" w:customStyle="1">
    <w:name w:val="Heading 4 Char"/>
    <w:basedOn w:val="DefaultParagraphFont"/>
    <w:link w:val="Heading4"/>
    <w:uiPriority w:val="14"/>
    <w:semiHidden/>
    <w:rsid w:val="009459DC"/>
    <w:rPr>
      <w:rFonts w:asciiTheme="majorHAnsi" w:hAnsiTheme="majorHAnsi" w:eastAsiaTheme="majorEastAsia" w:cstheme="majorBidi"/>
      <w:i/>
      <w:iCs/>
      <w:color w:val="38071D" w:themeColor="accent1" w:themeShade="BF"/>
    </w:rPr>
  </w:style>
  <w:style w:type="character" w:styleId="Heading5Char" w:customStyle="1">
    <w:name w:val="Heading 5 Char"/>
    <w:basedOn w:val="DefaultParagraphFont"/>
    <w:link w:val="Heading5"/>
    <w:uiPriority w:val="14"/>
    <w:semiHidden/>
    <w:rsid w:val="009459DC"/>
    <w:rPr>
      <w:rFonts w:asciiTheme="majorHAnsi" w:hAnsiTheme="majorHAnsi" w:eastAsiaTheme="majorEastAsia" w:cstheme="majorBidi"/>
      <w:color w:val="38071D" w:themeColor="accent1" w:themeShade="BF"/>
    </w:rPr>
  </w:style>
  <w:style w:type="character" w:styleId="Heading6Char" w:customStyle="1">
    <w:name w:val="Heading 6 Char"/>
    <w:basedOn w:val="DefaultParagraphFont"/>
    <w:link w:val="Heading6"/>
    <w:uiPriority w:val="14"/>
    <w:semiHidden/>
    <w:rsid w:val="009459DC"/>
    <w:rPr>
      <w:rFonts w:asciiTheme="majorHAnsi" w:hAnsiTheme="majorHAnsi" w:eastAsiaTheme="majorEastAsia" w:cstheme="majorBidi"/>
      <w:color w:val="250513" w:themeColor="accent1" w:themeShade="7F"/>
    </w:rPr>
  </w:style>
  <w:style w:type="character" w:styleId="Heading7Char" w:customStyle="1">
    <w:name w:val="Heading 7 Char"/>
    <w:basedOn w:val="DefaultParagraphFont"/>
    <w:link w:val="Heading7"/>
    <w:uiPriority w:val="14"/>
    <w:semiHidden/>
    <w:rsid w:val="009459DC"/>
    <w:rPr>
      <w:rFonts w:asciiTheme="majorHAnsi" w:hAnsiTheme="majorHAnsi" w:eastAsiaTheme="majorEastAsia" w:cstheme="majorBidi"/>
      <w:i/>
      <w:iCs/>
      <w:color w:val="250513" w:themeColor="accent1" w:themeShade="7F"/>
    </w:rPr>
  </w:style>
  <w:style w:type="table" w:styleId="TableGrid">
    <w:name w:val="Table Grid"/>
    <w:aliases w:val="Checkpoint Style 1"/>
    <w:basedOn w:val="TableNormal"/>
    <w:uiPriority w:val="39"/>
    <w:rsid w:val="009459D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44"/>
    <w:semiHidden/>
    <w:qFormat/>
    <w:rsid w:val="009459DC"/>
    <w:pPr>
      <w:numPr>
        <w:numId w:val="0"/>
      </w:numPr>
      <w:outlineLvl w:val="9"/>
    </w:pPr>
    <w:rPr>
      <w:rFonts w:ascii="Arial" w:hAnsi="Arial" w:cs="Arial"/>
    </w:rPr>
  </w:style>
  <w:style w:type="paragraph" w:styleId="Header">
    <w:name w:val="header"/>
    <w:basedOn w:val="Normal"/>
    <w:link w:val="HeaderChar"/>
    <w:uiPriority w:val="99"/>
    <w:semiHidden/>
    <w:rsid w:val="009C155C"/>
    <w:pPr>
      <w:tabs>
        <w:tab w:val="center" w:pos="4513"/>
        <w:tab w:val="right" w:pos="9026"/>
      </w:tabs>
      <w:spacing w:after="60" w:line="240" w:lineRule="auto"/>
    </w:pPr>
    <w:rPr>
      <w:i/>
      <w:color w:val="5DBFD4"/>
      <w:sz w:val="20"/>
    </w:rPr>
  </w:style>
  <w:style w:type="character" w:styleId="HeaderChar" w:customStyle="1">
    <w:name w:val="Header Char"/>
    <w:basedOn w:val="DefaultParagraphFont"/>
    <w:link w:val="Header"/>
    <w:uiPriority w:val="99"/>
    <w:semiHidden/>
    <w:rsid w:val="00FA10DD"/>
    <w:rPr>
      <w:rFonts w:ascii="Arial" w:hAnsi="Arial"/>
      <w:i/>
      <w:color w:val="5DBFD4"/>
      <w:sz w:val="20"/>
    </w:rPr>
  </w:style>
  <w:style w:type="paragraph" w:styleId="Footer">
    <w:name w:val="footer"/>
    <w:basedOn w:val="Normal"/>
    <w:link w:val="FooterChar"/>
    <w:uiPriority w:val="99"/>
    <w:rsid w:val="009C155C"/>
    <w:pPr>
      <w:tabs>
        <w:tab w:val="center" w:pos="4513"/>
        <w:tab w:val="right" w:pos="9026"/>
      </w:tabs>
      <w:spacing w:before="120" w:after="0" w:line="240" w:lineRule="auto"/>
    </w:pPr>
    <w:rPr>
      <w:color w:val="002744"/>
      <w:sz w:val="18"/>
    </w:rPr>
  </w:style>
  <w:style w:type="character" w:styleId="FooterChar" w:customStyle="1">
    <w:name w:val="Footer Char"/>
    <w:basedOn w:val="DefaultParagraphFont"/>
    <w:link w:val="Footer"/>
    <w:uiPriority w:val="99"/>
    <w:rsid w:val="00FA10DD"/>
    <w:rPr>
      <w:rFonts w:ascii="Arial" w:hAnsi="Arial"/>
      <w:color w:val="002744"/>
      <w:sz w:val="18"/>
    </w:rPr>
  </w:style>
  <w:style w:type="paragraph" w:styleId="Quote">
    <w:name w:val="Quote"/>
    <w:basedOn w:val="Normal"/>
    <w:next w:val="Normal"/>
    <w:link w:val="QuoteChar"/>
    <w:uiPriority w:val="34"/>
    <w:semiHidden/>
    <w:qFormat/>
    <w:rsid w:val="009351B1"/>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34"/>
    <w:semiHidden/>
    <w:rsid w:val="009351B1"/>
    <w:rPr>
      <w:rFonts w:ascii="Arial" w:hAnsi="Arial"/>
      <w:i/>
      <w:iCs/>
      <w:color w:val="404040" w:themeColor="text1" w:themeTint="BF"/>
    </w:rPr>
  </w:style>
  <w:style w:type="paragraph" w:styleId="ListParagraph">
    <w:name w:val="List Paragraph"/>
    <w:basedOn w:val="Normal"/>
    <w:uiPriority w:val="39"/>
    <w:semiHidden/>
    <w:qFormat/>
    <w:rsid w:val="00B66AD9"/>
    <w:pPr>
      <w:ind w:left="720"/>
      <w:contextualSpacing/>
    </w:pPr>
  </w:style>
  <w:style w:type="character" w:styleId="CommentReference">
    <w:name w:val="annotation reference"/>
    <w:basedOn w:val="DefaultParagraphFont"/>
    <w:uiPriority w:val="99"/>
    <w:semiHidden/>
    <w:rsid w:val="000D262C"/>
    <w:rPr>
      <w:sz w:val="16"/>
      <w:szCs w:val="16"/>
    </w:rPr>
  </w:style>
  <w:style w:type="paragraph" w:styleId="CommentText">
    <w:name w:val="annotation text"/>
    <w:basedOn w:val="Normal"/>
    <w:link w:val="CommentTextChar"/>
    <w:uiPriority w:val="99"/>
    <w:semiHidden/>
    <w:rsid w:val="000D262C"/>
    <w:pPr>
      <w:spacing w:line="240" w:lineRule="auto"/>
    </w:pPr>
    <w:rPr>
      <w:sz w:val="20"/>
      <w:szCs w:val="20"/>
    </w:rPr>
  </w:style>
  <w:style w:type="character" w:styleId="CommentTextChar" w:customStyle="1">
    <w:name w:val="Comment Text Char"/>
    <w:basedOn w:val="DefaultParagraphFont"/>
    <w:link w:val="CommentText"/>
    <w:uiPriority w:val="99"/>
    <w:semiHidden/>
    <w:rsid w:val="000D262C"/>
    <w:rPr>
      <w:rFonts w:ascii="Arial" w:hAnsi="Arial"/>
      <w:sz w:val="20"/>
      <w:szCs w:val="20"/>
    </w:rPr>
  </w:style>
  <w:style w:type="paragraph" w:styleId="CommentSubject">
    <w:name w:val="annotation subject"/>
    <w:basedOn w:val="CommentText"/>
    <w:next w:val="CommentText"/>
    <w:link w:val="CommentSubjectChar"/>
    <w:uiPriority w:val="99"/>
    <w:semiHidden/>
    <w:rsid w:val="000D262C"/>
    <w:rPr>
      <w:b/>
      <w:bCs/>
    </w:rPr>
  </w:style>
  <w:style w:type="character" w:styleId="CommentSubjectChar" w:customStyle="1">
    <w:name w:val="Comment Subject Char"/>
    <w:basedOn w:val="CommentTextChar"/>
    <w:link w:val="CommentSubject"/>
    <w:uiPriority w:val="99"/>
    <w:semiHidden/>
    <w:rsid w:val="000D262C"/>
    <w:rPr>
      <w:rFonts w:ascii="Arial" w:hAnsi="Arial"/>
      <w:b/>
      <w:bCs/>
      <w:sz w:val="20"/>
      <w:szCs w:val="20"/>
    </w:rPr>
  </w:style>
  <w:style w:type="paragraph" w:styleId="DocID" w:customStyle="1">
    <w:name w:val="DocID"/>
    <w:basedOn w:val="Footer"/>
    <w:next w:val="Footer"/>
    <w:link w:val="DocIDChar"/>
    <w:uiPriority w:val="5"/>
    <w:semiHidden/>
    <w:rsid w:val="00B3094C"/>
    <w:pPr>
      <w:tabs>
        <w:tab w:val="clear" w:pos="4513"/>
        <w:tab w:val="clear" w:pos="9026"/>
      </w:tabs>
      <w:spacing w:before="0"/>
      <w:jc w:val="right"/>
    </w:pPr>
    <w:rPr>
      <w:rFonts w:eastAsia="Times New Roman" w:cs="Times New Roman"/>
      <w:color w:val="4B0A28"/>
      <w:sz w:val="16"/>
      <w:szCs w:val="20"/>
      <w:lang w:eastAsia="en-GB"/>
    </w:rPr>
  </w:style>
  <w:style w:type="character" w:styleId="DocIDChar" w:customStyle="1">
    <w:name w:val="DocID Char"/>
    <w:basedOn w:val="DefaultParagraphFont"/>
    <w:link w:val="DocID"/>
    <w:uiPriority w:val="5"/>
    <w:semiHidden/>
    <w:rsid w:val="00B3094C"/>
    <w:rPr>
      <w:rFonts w:ascii="Arial" w:hAnsi="Arial" w:eastAsia="Times New Roman" w:cs="Times New Roman"/>
      <w:color w:val="4B0A28"/>
      <w:sz w:val="16"/>
      <w:szCs w:val="20"/>
      <w:lang w:eastAsia="en-GB"/>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color="4B0A28" w:themeColor="accent1" w:sz="2" w:space="10"/>
        <w:left w:val="single" w:color="4B0A28" w:themeColor="accent1" w:sz="2" w:space="10"/>
        <w:bottom w:val="single" w:color="4B0A28" w:themeColor="accent1" w:sz="2" w:space="10"/>
        <w:right w:val="single" w:color="4B0A28" w:themeColor="accent1" w:sz="2" w:space="10"/>
      </w:pBdr>
      <w:ind w:left="1152" w:right="1152"/>
    </w:pPr>
    <w:rPr>
      <w:rFonts w:asciiTheme="minorHAnsi" w:hAnsiTheme="minorHAnsi" w:eastAsiaTheme="minorEastAsia"/>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styleId="BodyTextFirstIndentChar" w:customStyle="1">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styleId="BodyTextIndentChar" w:customStyle="1">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styleId="BodyTextFirstIndent2Char" w:customStyle="1">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styleId="BodyTextIndent2Char" w:customStyle="1">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styleId="BodyTextIndent3Char" w:customStyle="1">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styleId="ClosingChar" w:customStyle="1">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color="FFFFFF" w:themeColor="background1" w:sz="12" w:space="0"/>
        </w:tcBorders>
        <w:shd w:val="clear" w:color="auto" w:fill="896575" w:themeFill="accent4" w:themeFillShade="CC"/>
      </w:tcPr>
    </w:tblStylePr>
    <w:tblStylePr w:type="lastRow">
      <w:rPr>
        <w:b/>
        <w:bCs/>
        <w:color w:val="89657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color="FFFFFF" w:themeColor="background1" w:sz="12" w:space="0"/>
        </w:tcBorders>
        <w:shd w:val="clear" w:color="auto" w:fill="005960" w:themeFill="accent3" w:themeFillShade="CC"/>
      </w:tcPr>
    </w:tblStylePr>
    <w:tblStylePr w:type="lastRow">
      <w:rPr>
        <w:b/>
        <w:bCs/>
        <w:color w:val="00596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color="FFFFFF" w:themeColor="background1" w:sz="12" w:space="0"/>
        </w:tcBorders>
        <w:shd w:val="clear" w:color="auto" w:fill="57A0A5" w:themeFill="accent6" w:themeFillShade="CC"/>
      </w:tcPr>
    </w:tblStylePr>
    <w:tblStylePr w:type="lastRow">
      <w:rPr>
        <w:b/>
        <w:bCs/>
        <w:color w:val="57A0A5"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color="FFFFFF" w:themeColor="background1" w:sz="12" w:space="0"/>
        </w:tcBorders>
        <w:shd w:val="clear" w:color="auto" w:fill="FF4F4D" w:themeFill="accent5" w:themeFillShade="CC"/>
      </w:tcPr>
    </w:tblStylePr>
    <w:tblStylePr w:type="lastRow">
      <w:rPr>
        <w:b/>
        <w:bCs/>
        <w:color w:val="FF4F4D"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color="FF454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4543" w:themeColor="accent2" w:sz="24" w:space="0"/>
        <w:left w:val="single" w:color="4B0A28" w:themeColor="accent1" w:sz="4" w:space="0"/>
        <w:bottom w:val="single" w:color="4B0A28" w:themeColor="accent1" w:sz="4" w:space="0"/>
        <w:right w:val="single" w:color="4B0A28" w:themeColor="accent1" w:sz="4" w:space="0"/>
        <w:insideH w:val="single" w:color="FFFFFF" w:themeColor="background1" w:sz="4" w:space="0"/>
        <w:insideV w:val="single" w:color="FFFFFF" w:themeColor="background1" w:sz="4" w:space="0"/>
      </w:tblBorders>
    </w:tblPr>
    <w:tcPr>
      <w:shd w:val="clear" w:color="auto" w:fill="FADAE8" w:themeFill="accent1"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color="2D0617" w:themeColor="accent1" w:themeShade="99" w:sz="4" w:space="0"/>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4543" w:themeColor="accent2" w:sz="24" w:space="0"/>
        <w:left w:val="single" w:color="FF4543" w:themeColor="accent2" w:sz="4" w:space="0"/>
        <w:bottom w:val="single" w:color="FF4543" w:themeColor="accent2" w:sz="4" w:space="0"/>
        <w:right w:val="single" w:color="FF4543" w:themeColor="accent2" w:sz="4" w:space="0"/>
        <w:insideH w:val="single" w:color="FFFFFF" w:themeColor="background1" w:sz="4" w:space="0"/>
        <w:insideV w:val="single" w:color="FFFFFF" w:themeColor="background1" w:sz="4" w:space="0"/>
      </w:tblBorders>
    </w:tblPr>
    <w:tcPr>
      <w:shd w:val="clear" w:color="auto" w:fill="FFECEC" w:themeFill="accent2"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color="C10100" w:themeColor="accent2" w:themeShade="99" w:sz="4" w:space="0"/>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A58594" w:themeColor="accent4" w:sz="24" w:space="0"/>
        <w:left w:val="single" w:color="007078" w:themeColor="accent3" w:sz="4" w:space="0"/>
        <w:bottom w:val="single" w:color="007078" w:themeColor="accent3" w:sz="4" w:space="0"/>
        <w:right w:val="single" w:color="007078" w:themeColor="accent3" w:sz="4" w:space="0"/>
        <w:insideH w:val="single" w:color="FFFFFF" w:themeColor="background1" w:sz="4" w:space="0"/>
        <w:insideV w:val="single" w:color="FFFFFF" w:themeColor="background1" w:sz="4" w:space="0"/>
      </w:tblBorders>
    </w:tblPr>
    <w:tcPr>
      <w:shd w:val="clear" w:color="auto" w:fill="D8FCFF" w:themeFill="accent3" w:themeFillTint="19"/>
    </w:tcPr>
    <w:tblStylePr w:type="firstRow">
      <w:rPr>
        <w:b/>
        <w:bCs/>
      </w:rPr>
      <w:tblPr/>
      <w:tcPr>
        <w:tcBorders>
          <w:top w:val="nil"/>
          <w:left w:val="nil"/>
          <w:bottom w:val="single" w:color="A58594"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color="004348" w:themeColor="accent3" w:themeShade="99" w:sz="4" w:space="0"/>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007078" w:themeColor="accent3" w:sz="24" w:space="0"/>
        <w:left w:val="single" w:color="A58594" w:themeColor="accent4" w:sz="4" w:space="0"/>
        <w:bottom w:val="single" w:color="A58594" w:themeColor="accent4" w:sz="4" w:space="0"/>
        <w:right w:val="single" w:color="A58594" w:themeColor="accent4" w:sz="4" w:space="0"/>
        <w:insideH w:val="single" w:color="FFFFFF" w:themeColor="background1" w:sz="4" w:space="0"/>
        <w:insideV w:val="single" w:color="FFFFFF" w:themeColor="background1" w:sz="4" w:space="0"/>
      </w:tblBorders>
    </w:tblPr>
    <w:tcPr>
      <w:shd w:val="clear" w:color="auto" w:fill="F6F2F4" w:themeFill="accent4" w:themeFillTint="19"/>
    </w:tcPr>
    <w:tblStylePr w:type="firstRow">
      <w:rPr>
        <w:b/>
        <w:bCs/>
      </w:rPr>
      <w:tblPr/>
      <w:tcPr>
        <w:tcBorders>
          <w:top w:val="nil"/>
          <w:left w:val="nil"/>
          <w:bottom w:val="single" w:color="007078"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color="664C58" w:themeColor="accent4" w:themeShade="99" w:sz="4" w:space="0"/>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80B8BC" w:themeColor="accent6" w:sz="24" w:space="0"/>
        <w:left w:val="single" w:color="FFA2A1" w:themeColor="accent5" w:sz="4" w:space="0"/>
        <w:bottom w:val="single" w:color="FFA2A1" w:themeColor="accent5" w:sz="4" w:space="0"/>
        <w:right w:val="single" w:color="FFA2A1" w:themeColor="accent5" w:sz="4" w:space="0"/>
        <w:insideH w:val="single" w:color="FFFFFF" w:themeColor="background1" w:sz="4" w:space="0"/>
        <w:insideV w:val="single" w:color="FFFFFF" w:themeColor="background1" w:sz="4" w:space="0"/>
      </w:tblBorders>
    </w:tblPr>
    <w:tcPr>
      <w:shd w:val="clear" w:color="auto" w:fill="FFF5F5" w:themeFill="accent5" w:themeFillTint="19"/>
    </w:tcPr>
    <w:tblStylePr w:type="firstRow">
      <w:rPr>
        <w:b/>
        <w:bCs/>
      </w:rPr>
      <w:tblPr/>
      <w:tcPr>
        <w:tcBorders>
          <w:top w:val="nil"/>
          <w:left w:val="nil"/>
          <w:bottom w:val="single" w:color="80B8BC"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color="F90100" w:themeColor="accent5" w:themeShade="99" w:sz="4" w:space="0"/>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A2A1" w:themeColor="accent5" w:sz="24" w:space="0"/>
        <w:left w:val="single" w:color="80B8BC" w:themeColor="accent6" w:sz="4" w:space="0"/>
        <w:bottom w:val="single" w:color="80B8BC" w:themeColor="accent6" w:sz="4" w:space="0"/>
        <w:right w:val="single" w:color="80B8BC" w:themeColor="accent6" w:sz="4" w:space="0"/>
        <w:insideH w:val="single" w:color="FFFFFF" w:themeColor="background1" w:sz="4" w:space="0"/>
        <w:insideV w:val="single" w:color="FFFFFF" w:themeColor="background1" w:sz="4" w:space="0"/>
      </w:tblBorders>
    </w:tblPr>
    <w:tcPr>
      <w:shd w:val="clear" w:color="auto" w:fill="F2F7F8" w:themeFill="accent6" w:themeFillTint="19"/>
    </w:tcPr>
    <w:tblStylePr w:type="firstRow">
      <w:rPr>
        <w:b/>
        <w:bCs/>
      </w:rPr>
      <w:tblPr/>
      <w:tcPr>
        <w:tcBorders>
          <w:top w:val="nil"/>
          <w:left w:val="nil"/>
          <w:bottom w:val="single" w:color="FFA2A1"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color="41777B" w:themeColor="accent6" w:themeShade="99" w:sz="4" w:space="0"/>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8071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F1010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005359"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805E6E"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FF3938"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1959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styleId="DateChar" w:customStyle="1">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styleId="E-mailSignatureChar" w:customStyle="1">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styleId="EndnoteTextChar" w:customStyle="1">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hAnsiTheme="majorHAnsi" w:eastAsiaTheme="majorEastAsia"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color="EB69A4" w:themeColor="accent1" w:themeTint="66" w:sz="4" w:space="0"/>
        <w:left w:val="single" w:color="EB69A4" w:themeColor="accent1" w:themeTint="66" w:sz="4" w:space="0"/>
        <w:bottom w:val="single" w:color="EB69A4" w:themeColor="accent1" w:themeTint="66" w:sz="4" w:space="0"/>
        <w:right w:val="single" w:color="EB69A4" w:themeColor="accent1" w:themeTint="66" w:sz="4" w:space="0"/>
        <w:insideH w:val="single" w:color="EB69A4" w:themeColor="accent1" w:themeTint="66" w:sz="4" w:space="0"/>
        <w:insideV w:val="single" w:color="EB69A4" w:themeColor="accent1" w:themeTint="66" w:sz="4" w:space="0"/>
      </w:tblBorders>
    </w:tblPr>
    <w:tblStylePr w:type="firstRow">
      <w:rPr>
        <w:b/>
        <w:bCs/>
      </w:rPr>
      <w:tblPr/>
      <w:tcPr>
        <w:tcBorders>
          <w:bottom w:val="single" w:color="E11E77" w:themeColor="accent1" w:themeTint="99" w:sz="12" w:space="0"/>
        </w:tcBorders>
      </w:tcPr>
    </w:tblStylePr>
    <w:tblStylePr w:type="lastRow">
      <w:rPr>
        <w:b/>
        <w:bCs/>
      </w:rPr>
      <w:tblPr/>
      <w:tcPr>
        <w:tcBorders>
          <w:top w:val="double" w:color="E11E77"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color="FFB4B3" w:themeColor="accent2" w:themeTint="66" w:sz="4" w:space="0"/>
        <w:left w:val="single" w:color="FFB4B3" w:themeColor="accent2" w:themeTint="66" w:sz="4" w:space="0"/>
        <w:bottom w:val="single" w:color="FFB4B3" w:themeColor="accent2" w:themeTint="66" w:sz="4" w:space="0"/>
        <w:right w:val="single" w:color="FFB4B3" w:themeColor="accent2" w:themeTint="66" w:sz="4" w:space="0"/>
        <w:insideH w:val="single" w:color="FFB4B3" w:themeColor="accent2" w:themeTint="66" w:sz="4" w:space="0"/>
        <w:insideV w:val="single" w:color="FFB4B3" w:themeColor="accent2" w:themeTint="66" w:sz="4" w:space="0"/>
      </w:tblBorders>
    </w:tblPr>
    <w:tblStylePr w:type="firstRow">
      <w:rPr>
        <w:b/>
        <w:bCs/>
      </w:rPr>
      <w:tblPr/>
      <w:tcPr>
        <w:tcBorders>
          <w:bottom w:val="single" w:color="FF8E8E" w:themeColor="accent2" w:themeTint="99" w:sz="12" w:space="0"/>
        </w:tcBorders>
      </w:tcPr>
    </w:tblStylePr>
    <w:tblStylePr w:type="lastRow">
      <w:rPr>
        <w:b/>
        <w:bCs/>
      </w:rPr>
      <w:tblPr/>
      <w:tcPr>
        <w:tcBorders>
          <w:top w:val="double" w:color="FF8E8E"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color="63F4FF" w:themeColor="accent3" w:themeTint="66" w:sz="4" w:space="0"/>
        <w:left w:val="single" w:color="63F4FF" w:themeColor="accent3" w:themeTint="66" w:sz="4" w:space="0"/>
        <w:bottom w:val="single" w:color="63F4FF" w:themeColor="accent3" w:themeTint="66" w:sz="4" w:space="0"/>
        <w:right w:val="single" w:color="63F4FF" w:themeColor="accent3" w:themeTint="66" w:sz="4" w:space="0"/>
        <w:insideH w:val="single" w:color="63F4FF" w:themeColor="accent3" w:themeTint="66" w:sz="4" w:space="0"/>
        <w:insideV w:val="single" w:color="63F4FF" w:themeColor="accent3" w:themeTint="66" w:sz="4" w:space="0"/>
      </w:tblBorders>
    </w:tblPr>
    <w:tblStylePr w:type="firstRow">
      <w:rPr>
        <w:b/>
        <w:bCs/>
      </w:rPr>
      <w:tblPr/>
      <w:tcPr>
        <w:tcBorders>
          <w:bottom w:val="single" w:color="15EFFF" w:themeColor="accent3" w:themeTint="99" w:sz="12" w:space="0"/>
        </w:tcBorders>
      </w:tcPr>
    </w:tblStylePr>
    <w:tblStylePr w:type="lastRow">
      <w:rPr>
        <w:b/>
        <w:bCs/>
      </w:rPr>
      <w:tblPr/>
      <w:tcPr>
        <w:tcBorders>
          <w:top w:val="double" w:color="15EFFF"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color="DBCED4" w:themeColor="accent4" w:themeTint="66" w:sz="4" w:space="0"/>
        <w:left w:val="single" w:color="DBCED4" w:themeColor="accent4" w:themeTint="66" w:sz="4" w:space="0"/>
        <w:bottom w:val="single" w:color="DBCED4" w:themeColor="accent4" w:themeTint="66" w:sz="4" w:space="0"/>
        <w:right w:val="single" w:color="DBCED4" w:themeColor="accent4" w:themeTint="66" w:sz="4" w:space="0"/>
        <w:insideH w:val="single" w:color="DBCED4" w:themeColor="accent4" w:themeTint="66" w:sz="4" w:space="0"/>
        <w:insideV w:val="single" w:color="DBCED4" w:themeColor="accent4" w:themeTint="66" w:sz="4" w:space="0"/>
      </w:tblBorders>
    </w:tblPr>
    <w:tblStylePr w:type="firstRow">
      <w:rPr>
        <w:b/>
        <w:bCs/>
      </w:rPr>
      <w:tblPr/>
      <w:tcPr>
        <w:tcBorders>
          <w:bottom w:val="single" w:color="C9B5BE" w:themeColor="accent4" w:themeTint="99" w:sz="12" w:space="0"/>
        </w:tcBorders>
      </w:tcPr>
    </w:tblStylePr>
    <w:tblStylePr w:type="lastRow">
      <w:rPr>
        <w:b/>
        <w:bCs/>
      </w:rPr>
      <w:tblPr/>
      <w:tcPr>
        <w:tcBorders>
          <w:top w:val="double" w:color="C9B5BE"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color="FFD9D9" w:themeColor="accent5" w:themeTint="66" w:sz="4" w:space="0"/>
        <w:left w:val="single" w:color="FFD9D9" w:themeColor="accent5" w:themeTint="66" w:sz="4" w:space="0"/>
        <w:bottom w:val="single" w:color="FFD9D9" w:themeColor="accent5" w:themeTint="66" w:sz="4" w:space="0"/>
        <w:right w:val="single" w:color="FFD9D9" w:themeColor="accent5" w:themeTint="66" w:sz="4" w:space="0"/>
        <w:insideH w:val="single" w:color="FFD9D9" w:themeColor="accent5" w:themeTint="66" w:sz="4" w:space="0"/>
        <w:insideV w:val="single" w:color="FFD9D9" w:themeColor="accent5" w:themeTint="66" w:sz="4" w:space="0"/>
      </w:tblBorders>
    </w:tblPr>
    <w:tblStylePr w:type="firstRow">
      <w:rPr>
        <w:b/>
        <w:bCs/>
      </w:rPr>
      <w:tblPr/>
      <w:tcPr>
        <w:tcBorders>
          <w:bottom w:val="single" w:color="FFC6C6" w:themeColor="accent5" w:themeTint="99" w:sz="12" w:space="0"/>
        </w:tcBorders>
      </w:tcPr>
    </w:tblStylePr>
    <w:tblStylePr w:type="lastRow">
      <w:rPr>
        <w:b/>
        <w:bCs/>
      </w:rPr>
      <w:tblPr/>
      <w:tcPr>
        <w:tcBorders>
          <w:top w:val="double" w:color="FFC6C6"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color="CCE2E4" w:themeColor="accent6" w:themeTint="66" w:sz="4" w:space="0"/>
        <w:left w:val="single" w:color="CCE2E4" w:themeColor="accent6" w:themeTint="66" w:sz="4" w:space="0"/>
        <w:bottom w:val="single" w:color="CCE2E4" w:themeColor="accent6" w:themeTint="66" w:sz="4" w:space="0"/>
        <w:right w:val="single" w:color="CCE2E4" w:themeColor="accent6" w:themeTint="66" w:sz="4" w:space="0"/>
        <w:insideH w:val="single" w:color="CCE2E4" w:themeColor="accent6" w:themeTint="66" w:sz="4" w:space="0"/>
        <w:insideV w:val="single" w:color="CCE2E4" w:themeColor="accent6" w:themeTint="66" w:sz="4" w:space="0"/>
      </w:tblBorders>
    </w:tblPr>
    <w:tblStylePr w:type="firstRow">
      <w:rPr>
        <w:b/>
        <w:bCs/>
      </w:rPr>
      <w:tblPr/>
      <w:tcPr>
        <w:tcBorders>
          <w:bottom w:val="single" w:color="B2D4D6" w:themeColor="accent6" w:themeTint="99" w:sz="12" w:space="0"/>
        </w:tcBorders>
      </w:tcPr>
    </w:tblStylePr>
    <w:tblStylePr w:type="lastRow">
      <w:rPr>
        <w:b/>
        <w:bCs/>
      </w:rPr>
      <w:tblPr/>
      <w:tcPr>
        <w:tcBorders>
          <w:top w:val="double" w:color="B2D4D6"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color="E11E77" w:themeColor="accent1" w:themeTint="99" w:sz="2" w:space="0"/>
        <w:bottom w:val="single" w:color="E11E77" w:themeColor="accent1" w:themeTint="99" w:sz="2" w:space="0"/>
        <w:insideH w:val="single" w:color="E11E77" w:themeColor="accent1" w:themeTint="99" w:sz="2" w:space="0"/>
        <w:insideV w:val="single" w:color="E11E77" w:themeColor="accent1" w:themeTint="99" w:sz="2" w:space="0"/>
      </w:tblBorders>
    </w:tblPr>
    <w:tblStylePr w:type="firstRow">
      <w:rPr>
        <w:b/>
        <w:bCs/>
      </w:rPr>
      <w:tblPr/>
      <w:tcPr>
        <w:tcBorders>
          <w:top w:val="nil"/>
          <w:bottom w:val="single" w:color="E11E77" w:themeColor="accent1" w:themeTint="99" w:sz="12" w:space="0"/>
          <w:insideH w:val="nil"/>
          <w:insideV w:val="nil"/>
        </w:tcBorders>
        <w:shd w:val="clear" w:color="auto" w:fill="FFFFFF" w:themeFill="background1"/>
      </w:tcPr>
    </w:tblStylePr>
    <w:tblStylePr w:type="lastRow">
      <w:rPr>
        <w:b/>
        <w:bCs/>
      </w:rPr>
      <w:tblPr/>
      <w:tcPr>
        <w:tcBorders>
          <w:top w:val="double" w:color="E11E7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color="FF8E8E" w:themeColor="accent2" w:themeTint="99" w:sz="2" w:space="0"/>
        <w:bottom w:val="single" w:color="FF8E8E" w:themeColor="accent2" w:themeTint="99" w:sz="2" w:space="0"/>
        <w:insideH w:val="single" w:color="FF8E8E" w:themeColor="accent2" w:themeTint="99" w:sz="2" w:space="0"/>
        <w:insideV w:val="single" w:color="FF8E8E" w:themeColor="accent2" w:themeTint="99" w:sz="2" w:space="0"/>
      </w:tblBorders>
    </w:tblPr>
    <w:tblStylePr w:type="firstRow">
      <w:rPr>
        <w:b/>
        <w:bCs/>
      </w:rPr>
      <w:tblPr/>
      <w:tcPr>
        <w:tcBorders>
          <w:top w:val="nil"/>
          <w:bottom w:val="single" w:color="FF8E8E" w:themeColor="accent2" w:themeTint="99" w:sz="12" w:space="0"/>
          <w:insideH w:val="nil"/>
          <w:insideV w:val="nil"/>
        </w:tcBorders>
        <w:shd w:val="clear" w:color="auto" w:fill="FFFFFF" w:themeFill="background1"/>
      </w:tcPr>
    </w:tblStylePr>
    <w:tblStylePr w:type="lastRow">
      <w:rPr>
        <w:b/>
        <w:bCs/>
      </w:rPr>
      <w:tblPr/>
      <w:tcPr>
        <w:tcBorders>
          <w:top w:val="double" w:color="FF8E8E"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color="15EFFF" w:themeColor="accent3" w:themeTint="99" w:sz="2" w:space="0"/>
        <w:bottom w:val="single" w:color="15EFFF" w:themeColor="accent3" w:themeTint="99" w:sz="2" w:space="0"/>
        <w:insideH w:val="single" w:color="15EFFF" w:themeColor="accent3" w:themeTint="99" w:sz="2" w:space="0"/>
        <w:insideV w:val="single" w:color="15EFFF" w:themeColor="accent3" w:themeTint="99" w:sz="2" w:space="0"/>
      </w:tblBorders>
    </w:tblPr>
    <w:tblStylePr w:type="firstRow">
      <w:rPr>
        <w:b/>
        <w:bCs/>
      </w:rPr>
      <w:tblPr/>
      <w:tcPr>
        <w:tcBorders>
          <w:top w:val="nil"/>
          <w:bottom w:val="single" w:color="15EFFF" w:themeColor="accent3" w:themeTint="99" w:sz="12" w:space="0"/>
          <w:insideH w:val="nil"/>
          <w:insideV w:val="nil"/>
        </w:tcBorders>
        <w:shd w:val="clear" w:color="auto" w:fill="FFFFFF" w:themeFill="background1"/>
      </w:tcPr>
    </w:tblStylePr>
    <w:tblStylePr w:type="lastRow">
      <w:rPr>
        <w:b/>
        <w:bCs/>
      </w:rPr>
      <w:tblPr/>
      <w:tcPr>
        <w:tcBorders>
          <w:top w:val="double" w:color="15EFF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color="C9B5BE" w:themeColor="accent4" w:themeTint="99" w:sz="2" w:space="0"/>
        <w:bottom w:val="single" w:color="C9B5BE" w:themeColor="accent4" w:themeTint="99" w:sz="2" w:space="0"/>
        <w:insideH w:val="single" w:color="C9B5BE" w:themeColor="accent4" w:themeTint="99" w:sz="2" w:space="0"/>
        <w:insideV w:val="single" w:color="C9B5BE" w:themeColor="accent4" w:themeTint="99" w:sz="2" w:space="0"/>
      </w:tblBorders>
    </w:tblPr>
    <w:tblStylePr w:type="firstRow">
      <w:rPr>
        <w:b/>
        <w:bCs/>
      </w:rPr>
      <w:tblPr/>
      <w:tcPr>
        <w:tcBorders>
          <w:top w:val="nil"/>
          <w:bottom w:val="single" w:color="C9B5BE" w:themeColor="accent4" w:themeTint="99" w:sz="12" w:space="0"/>
          <w:insideH w:val="nil"/>
          <w:insideV w:val="nil"/>
        </w:tcBorders>
        <w:shd w:val="clear" w:color="auto" w:fill="FFFFFF" w:themeFill="background1"/>
      </w:tcPr>
    </w:tblStylePr>
    <w:tblStylePr w:type="lastRow">
      <w:rPr>
        <w:b/>
        <w:bCs/>
      </w:rPr>
      <w:tblPr/>
      <w:tcPr>
        <w:tcBorders>
          <w:top w:val="double" w:color="C9B5BE"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color="FFC6C6" w:themeColor="accent5" w:themeTint="99" w:sz="2" w:space="0"/>
        <w:bottom w:val="single" w:color="FFC6C6" w:themeColor="accent5" w:themeTint="99" w:sz="2" w:space="0"/>
        <w:insideH w:val="single" w:color="FFC6C6" w:themeColor="accent5" w:themeTint="99" w:sz="2" w:space="0"/>
        <w:insideV w:val="single" w:color="FFC6C6" w:themeColor="accent5" w:themeTint="99" w:sz="2" w:space="0"/>
      </w:tblBorders>
    </w:tblPr>
    <w:tblStylePr w:type="firstRow">
      <w:rPr>
        <w:b/>
        <w:bCs/>
      </w:rPr>
      <w:tblPr/>
      <w:tcPr>
        <w:tcBorders>
          <w:top w:val="nil"/>
          <w:bottom w:val="single" w:color="FFC6C6" w:themeColor="accent5" w:themeTint="99" w:sz="12" w:space="0"/>
          <w:insideH w:val="nil"/>
          <w:insideV w:val="nil"/>
        </w:tcBorders>
        <w:shd w:val="clear" w:color="auto" w:fill="FFFFFF" w:themeFill="background1"/>
      </w:tcPr>
    </w:tblStylePr>
    <w:tblStylePr w:type="lastRow">
      <w:rPr>
        <w:b/>
        <w:bCs/>
      </w:rPr>
      <w:tblPr/>
      <w:tcPr>
        <w:tcBorders>
          <w:top w:val="double" w:color="FFC6C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color="B2D4D6" w:themeColor="accent6" w:themeTint="99" w:sz="2" w:space="0"/>
        <w:bottom w:val="single" w:color="B2D4D6" w:themeColor="accent6" w:themeTint="99" w:sz="2" w:space="0"/>
        <w:insideH w:val="single" w:color="B2D4D6" w:themeColor="accent6" w:themeTint="99" w:sz="2" w:space="0"/>
        <w:insideV w:val="single" w:color="B2D4D6" w:themeColor="accent6" w:themeTint="99" w:sz="2" w:space="0"/>
      </w:tblBorders>
    </w:tblPr>
    <w:tblStylePr w:type="firstRow">
      <w:rPr>
        <w:b/>
        <w:bCs/>
      </w:rPr>
      <w:tblPr/>
      <w:tcPr>
        <w:tcBorders>
          <w:top w:val="nil"/>
          <w:bottom w:val="single" w:color="B2D4D6" w:themeColor="accent6" w:themeTint="99" w:sz="12" w:space="0"/>
          <w:insideH w:val="nil"/>
          <w:insideV w:val="nil"/>
        </w:tcBorders>
        <w:shd w:val="clear" w:color="auto" w:fill="FFFFFF" w:themeFill="background1"/>
      </w:tcPr>
    </w:tblStylePr>
    <w:tblStylePr w:type="lastRow">
      <w:rPr>
        <w:b/>
        <w:bCs/>
      </w:rPr>
      <w:tblPr/>
      <w:tcPr>
        <w:tcBorders>
          <w:top w:val="double" w:color="B2D4D6"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color="E11E77" w:themeColor="accent1" w:themeTint="99" w:sz="4" w:space="0"/>
        </w:tcBorders>
      </w:tcPr>
    </w:tblStylePr>
    <w:tblStylePr w:type="nwCell">
      <w:tblPr/>
      <w:tcPr>
        <w:tcBorders>
          <w:bottom w:val="single" w:color="E11E77" w:themeColor="accent1" w:themeTint="99" w:sz="4" w:space="0"/>
        </w:tcBorders>
      </w:tcPr>
    </w:tblStylePr>
    <w:tblStylePr w:type="seCell">
      <w:tblPr/>
      <w:tcPr>
        <w:tcBorders>
          <w:top w:val="single" w:color="E11E77" w:themeColor="accent1" w:themeTint="99" w:sz="4" w:space="0"/>
        </w:tcBorders>
      </w:tcPr>
    </w:tblStylePr>
    <w:tblStylePr w:type="swCell">
      <w:tblPr/>
      <w:tcPr>
        <w:tcBorders>
          <w:top w:val="single" w:color="E11E77" w:themeColor="accent1" w:themeTint="99" w:sz="4" w:space="0"/>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color="FF8E8E" w:themeColor="accent2" w:themeTint="99" w:sz="4" w:space="0"/>
        </w:tcBorders>
      </w:tcPr>
    </w:tblStylePr>
    <w:tblStylePr w:type="nwCell">
      <w:tblPr/>
      <w:tcPr>
        <w:tcBorders>
          <w:bottom w:val="single" w:color="FF8E8E" w:themeColor="accent2" w:themeTint="99" w:sz="4" w:space="0"/>
        </w:tcBorders>
      </w:tcPr>
    </w:tblStylePr>
    <w:tblStylePr w:type="seCell">
      <w:tblPr/>
      <w:tcPr>
        <w:tcBorders>
          <w:top w:val="single" w:color="FF8E8E" w:themeColor="accent2" w:themeTint="99" w:sz="4" w:space="0"/>
        </w:tcBorders>
      </w:tcPr>
    </w:tblStylePr>
    <w:tblStylePr w:type="swCell">
      <w:tblPr/>
      <w:tcPr>
        <w:tcBorders>
          <w:top w:val="single" w:color="FF8E8E" w:themeColor="accent2" w:themeTint="99" w:sz="4" w:space="0"/>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color="15EFFF" w:themeColor="accent3" w:themeTint="99" w:sz="4" w:space="0"/>
        </w:tcBorders>
      </w:tcPr>
    </w:tblStylePr>
    <w:tblStylePr w:type="nwCell">
      <w:tblPr/>
      <w:tcPr>
        <w:tcBorders>
          <w:bottom w:val="single" w:color="15EFFF" w:themeColor="accent3" w:themeTint="99" w:sz="4" w:space="0"/>
        </w:tcBorders>
      </w:tcPr>
    </w:tblStylePr>
    <w:tblStylePr w:type="seCell">
      <w:tblPr/>
      <w:tcPr>
        <w:tcBorders>
          <w:top w:val="single" w:color="15EFFF" w:themeColor="accent3" w:themeTint="99" w:sz="4" w:space="0"/>
        </w:tcBorders>
      </w:tcPr>
    </w:tblStylePr>
    <w:tblStylePr w:type="swCell">
      <w:tblPr/>
      <w:tcPr>
        <w:tcBorders>
          <w:top w:val="single" w:color="15EFFF" w:themeColor="accent3" w:themeTint="99" w:sz="4" w:space="0"/>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color="C9B5BE" w:themeColor="accent4" w:themeTint="99" w:sz="4" w:space="0"/>
        </w:tcBorders>
      </w:tcPr>
    </w:tblStylePr>
    <w:tblStylePr w:type="nwCell">
      <w:tblPr/>
      <w:tcPr>
        <w:tcBorders>
          <w:bottom w:val="single" w:color="C9B5BE" w:themeColor="accent4" w:themeTint="99" w:sz="4" w:space="0"/>
        </w:tcBorders>
      </w:tcPr>
    </w:tblStylePr>
    <w:tblStylePr w:type="seCell">
      <w:tblPr/>
      <w:tcPr>
        <w:tcBorders>
          <w:top w:val="single" w:color="C9B5BE" w:themeColor="accent4" w:themeTint="99" w:sz="4" w:space="0"/>
        </w:tcBorders>
      </w:tcPr>
    </w:tblStylePr>
    <w:tblStylePr w:type="swCell">
      <w:tblPr/>
      <w:tcPr>
        <w:tcBorders>
          <w:top w:val="single" w:color="C9B5BE" w:themeColor="accent4" w:themeTint="99" w:sz="4" w:space="0"/>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color="FFC6C6" w:themeColor="accent5" w:themeTint="99" w:sz="4" w:space="0"/>
        </w:tcBorders>
      </w:tcPr>
    </w:tblStylePr>
    <w:tblStylePr w:type="nwCell">
      <w:tblPr/>
      <w:tcPr>
        <w:tcBorders>
          <w:bottom w:val="single" w:color="FFC6C6" w:themeColor="accent5" w:themeTint="99" w:sz="4" w:space="0"/>
        </w:tcBorders>
      </w:tcPr>
    </w:tblStylePr>
    <w:tblStylePr w:type="seCell">
      <w:tblPr/>
      <w:tcPr>
        <w:tcBorders>
          <w:top w:val="single" w:color="FFC6C6" w:themeColor="accent5" w:themeTint="99" w:sz="4" w:space="0"/>
        </w:tcBorders>
      </w:tcPr>
    </w:tblStylePr>
    <w:tblStylePr w:type="swCell">
      <w:tblPr/>
      <w:tcPr>
        <w:tcBorders>
          <w:top w:val="single" w:color="FFC6C6" w:themeColor="accent5" w:themeTint="99" w:sz="4" w:space="0"/>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color="B2D4D6" w:themeColor="accent6" w:themeTint="99" w:sz="4" w:space="0"/>
        </w:tcBorders>
      </w:tcPr>
    </w:tblStylePr>
    <w:tblStylePr w:type="nwCell">
      <w:tblPr/>
      <w:tcPr>
        <w:tcBorders>
          <w:bottom w:val="single" w:color="B2D4D6" w:themeColor="accent6" w:themeTint="99" w:sz="4" w:space="0"/>
        </w:tcBorders>
      </w:tcPr>
    </w:tblStylePr>
    <w:tblStylePr w:type="seCell">
      <w:tblPr/>
      <w:tcPr>
        <w:tcBorders>
          <w:top w:val="single" w:color="B2D4D6" w:themeColor="accent6" w:themeTint="99" w:sz="4" w:space="0"/>
        </w:tcBorders>
      </w:tcPr>
    </w:tblStylePr>
    <w:tblStylePr w:type="swCell">
      <w:tblPr/>
      <w:tcPr>
        <w:tcBorders>
          <w:top w:val="single" w:color="B2D4D6" w:themeColor="accent6" w:themeTint="99" w:sz="4" w:space="0"/>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color w:val="FFFFFF" w:themeColor="background1"/>
      </w:rPr>
      <w:tblPr/>
      <w:tcPr>
        <w:tcBorders>
          <w:top w:val="single" w:color="4B0A28" w:themeColor="accent1" w:sz="4" w:space="0"/>
          <w:left w:val="single" w:color="4B0A28" w:themeColor="accent1" w:sz="4" w:space="0"/>
          <w:bottom w:val="single" w:color="4B0A28" w:themeColor="accent1" w:sz="4" w:space="0"/>
          <w:right w:val="single" w:color="4B0A28" w:themeColor="accent1" w:sz="4" w:space="0"/>
          <w:insideH w:val="nil"/>
          <w:insideV w:val="nil"/>
        </w:tcBorders>
        <w:shd w:val="clear" w:color="auto" w:fill="4B0A28" w:themeFill="accent1"/>
      </w:tcPr>
    </w:tblStylePr>
    <w:tblStylePr w:type="lastRow">
      <w:rPr>
        <w:b/>
        <w:bCs/>
      </w:rPr>
      <w:tblPr/>
      <w:tcPr>
        <w:tcBorders>
          <w:top w:val="double" w:color="4B0A28" w:themeColor="accent1"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color w:val="FFFFFF" w:themeColor="background1"/>
      </w:rPr>
      <w:tblPr/>
      <w:tcPr>
        <w:tcBorders>
          <w:top w:val="single" w:color="FF4543" w:themeColor="accent2" w:sz="4" w:space="0"/>
          <w:left w:val="single" w:color="FF4543" w:themeColor="accent2" w:sz="4" w:space="0"/>
          <w:bottom w:val="single" w:color="FF4543" w:themeColor="accent2" w:sz="4" w:space="0"/>
          <w:right w:val="single" w:color="FF4543" w:themeColor="accent2" w:sz="4" w:space="0"/>
          <w:insideH w:val="nil"/>
          <w:insideV w:val="nil"/>
        </w:tcBorders>
        <w:shd w:val="clear" w:color="auto" w:fill="FF4543" w:themeFill="accent2"/>
      </w:tcPr>
    </w:tblStylePr>
    <w:tblStylePr w:type="lastRow">
      <w:rPr>
        <w:b/>
        <w:bCs/>
      </w:rPr>
      <w:tblPr/>
      <w:tcPr>
        <w:tcBorders>
          <w:top w:val="double" w:color="FF4543" w:themeColor="accent2"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color w:val="FFFFFF" w:themeColor="background1"/>
      </w:rPr>
      <w:tblPr/>
      <w:tcPr>
        <w:tcBorders>
          <w:top w:val="single" w:color="007078" w:themeColor="accent3" w:sz="4" w:space="0"/>
          <w:left w:val="single" w:color="007078" w:themeColor="accent3" w:sz="4" w:space="0"/>
          <w:bottom w:val="single" w:color="007078" w:themeColor="accent3" w:sz="4" w:space="0"/>
          <w:right w:val="single" w:color="007078" w:themeColor="accent3" w:sz="4" w:space="0"/>
          <w:insideH w:val="nil"/>
          <w:insideV w:val="nil"/>
        </w:tcBorders>
        <w:shd w:val="clear" w:color="auto" w:fill="007078" w:themeFill="accent3"/>
      </w:tcPr>
    </w:tblStylePr>
    <w:tblStylePr w:type="lastRow">
      <w:rPr>
        <w:b/>
        <w:bCs/>
      </w:rPr>
      <w:tblPr/>
      <w:tcPr>
        <w:tcBorders>
          <w:top w:val="double" w:color="007078" w:themeColor="accent3"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color w:val="FFFFFF" w:themeColor="background1"/>
      </w:rPr>
      <w:tblPr/>
      <w:tcPr>
        <w:tcBorders>
          <w:top w:val="single" w:color="A58594" w:themeColor="accent4" w:sz="4" w:space="0"/>
          <w:left w:val="single" w:color="A58594" w:themeColor="accent4" w:sz="4" w:space="0"/>
          <w:bottom w:val="single" w:color="A58594" w:themeColor="accent4" w:sz="4" w:space="0"/>
          <w:right w:val="single" w:color="A58594" w:themeColor="accent4" w:sz="4" w:space="0"/>
          <w:insideH w:val="nil"/>
          <w:insideV w:val="nil"/>
        </w:tcBorders>
        <w:shd w:val="clear" w:color="auto" w:fill="A58594" w:themeFill="accent4"/>
      </w:tcPr>
    </w:tblStylePr>
    <w:tblStylePr w:type="lastRow">
      <w:rPr>
        <w:b/>
        <w:bCs/>
      </w:rPr>
      <w:tblPr/>
      <w:tcPr>
        <w:tcBorders>
          <w:top w:val="double" w:color="A58594" w:themeColor="accent4"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color w:val="FFFFFF" w:themeColor="background1"/>
      </w:rPr>
      <w:tblPr/>
      <w:tcPr>
        <w:tcBorders>
          <w:top w:val="single" w:color="FFA2A1" w:themeColor="accent5" w:sz="4" w:space="0"/>
          <w:left w:val="single" w:color="FFA2A1" w:themeColor="accent5" w:sz="4" w:space="0"/>
          <w:bottom w:val="single" w:color="FFA2A1" w:themeColor="accent5" w:sz="4" w:space="0"/>
          <w:right w:val="single" w:color="FFA2A1" w:themeColor="accent5" w:sz="4" w:space="0"/>
          <w:insideH w:val="nil"/>
          <w:insideV w:val="nil"/>
        </w:tcBorders>
        <w:shd w:val="clear" w:color="auto" w:fill="FFA2A1" w:themeFill="accent5"/>
      </w:tcPr>
    </w:tblStylePr>
    <w:tblStylePr w:type="lastRow">
      <w:rPr>
        <w:b/>
        <w:bCs/>
      </w:rPr>
      <w:tblPr/>
      <w:tcPr>
        <w:tcBorders>
          <w:top w:val="double" w:color="FFA2A1" w:themeColor="accent5"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color w:val="FFFFFF" w:themeColor="background1"/>
      </w:rPr>
      <w:tblPr/>
      <w:tcPr>
        <w:tcBorders>
          <w:top w:val="single" w:color="80B8BC" w:themeColor="accent6" w:sz="4" w:space="0"/>
          <w:left w:val="single" w:color="80B8BC" w:themeColor="accent6" w:sz="4" w:space="0"/>
          <w:bottom w:val="single" w:color="80B8BC" w:themeColor="accent6" w:sz="4" w:space="0"/>
          <w:right w:val="single" w:color="80B8BC" w:themeColor="accent6" w:sz="4" w:space="0"/>
          <w:insideH w:val="nil"/>
          <w:insideV w:val="nil"/>
        </w:tcBorders>
        <w:shd w:val="clear" w:color="auto" w:fill="80B8BC" w:themeFill="accent6"/>
      </w:tcPr>
    </w:tblStylePr>
    <w:tblStylePr w:type="lastRow">
      <w:rPr>
        <w:b/>
        <w:bCs/>
      </w:rPr>
      <w:tblPr/>
      <w:tcPr>
        <w:tcBorders>
          <w:top w:val="double" w:color="80B8BC" w:themeColor="accent6"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5B4D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0A28"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0A28"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0A28"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9D9"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454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454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454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F9FF"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7078"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7078"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7078"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6E9"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8594"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8594"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8594"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CEC"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A2A1"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A2A1"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A2A1"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F0F1"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B8BC"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B8BC"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B8BC"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bottom w:val="single" w:color="E11E77" w:themeColor="accent1" w:themeTint="99" w:sz="12" w:space="0"/>
        </w:tcBorders>
      </w:tcPr>
    </w:tblStylePr>
    <w:tblStylePr w:type="lastRow">
      <w:rPr>
        <w:b/>
        <w:bCs/>
      </w:rPr>
      <w:tblPr/>
      <w:tcPr>
        <w:tcBorders>
          <w:top w:val="doub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bottom w:val="single" w:color="FF8E8E" w:themeColor="accent2" w:themeTint="99" w:sz="12" w:space="0"/>
        </w:tcBorders>
      </w:tcPr>
    </w:tblStylePr>
    <w:tblStylePr w:type="lastRow">
      <w:rPr>
        <w:b/>
        <w:bCs/>
      </w:rPr>
      <w:tblPr/>
      <w:tcPr>
        <w:tcBorders>
          <w:top w:val="doub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bottom w:val="single" w:color="15EFFF" w:themeColor="accent3" w:themeTint="99" w:sz="12" w:space="0"/>
        </w:tcBorders>
      </w:tcPr>
    </w:tblStylePr>
    <w:tblStylePr w:type="lastRow">
      <w:rPr>
        <w:b/>
        <w:bCs/>
      </w:rPr>
      <w:tblPr/>
      <w:tcPr>
        <w:tcBorders>
          <w:top w:val="doub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bottom w:val="single" w:color="C9B5BE" w:themeColor="accent4" w:themeTint="99" w:sz="12" w:space="0"/>
        </w:tcBorders>
      </w:tcPr>
    </w:tblStylePr>
    <w:tblStylePr w:type="lastRow">
      <w:rPr>
        <w:b/>
        <w:bCs/>
      </w:rPr>
      <w:tblPr/>
      <w:tcPr>
        <w:tcBorders>
          <w:top w:val="doub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bottom w:val="single" w:color="FFC6C6" w:themeColor="accent5" w:themeTint="99" w:sz="12" w:space="0"/>
        </w:tcBorders>
      </w:tcPr>
    </w:tblStylePr>
    <w:tblStylePr w:type="lastRow">
      <w:rPr>
        <w:b/>
        <w:bCs/>
      </w:rPr>
      <w:tblPr/>
      <w:tcPr>
        <w:tcBorders>
          <w:top w:val="doub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bottom w:val="single" w:color="B2D4D6" w:themeColor="accent6" w:themeTint="99" w:sz="12" w:space="0"/>
        </w:tcBorders>
      </w:tcPr>
    </w:tblStylePr>
    <w:tblStylePr w:type="lastRow">
      <w:rPr>
        <w:b/>
        <w:bCs/>
      </w:rPr>
      <w:tblPr/>
      <w:tcPr>
        <w:tcBorders>
          <w:top w:val="doub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color="E11E77" w:themeColor="accent1" w:themeTint="99" w:sz="4" w:space="0"/>
        </w:tcBorders>
      </w:tcPr>
    </w:tblStylePr>
    <w:tblStylePr w:type="nwCell">
      <w:tblPr/>
      <w:tcPr>
        <w:tcBorders>
          <w:bottom w:val="single" w:color="E11E77" w:themeColor="accent1" w:themeTint="99" w:sz="4" w:space="0"/>
        </w:tcBorders>
      </w:tcPr>
    </w:tblStylePr>
    <w:tblStylePr w:type="seCell">
      <w:tblPr/>
      <w:tcPr>
        <w:tcBorders>
          <w:top w:val="single" w:color="E11E77" w:themeColor="accent1" w:themeTint="99" w:sz="4" w:space="0"/>
        </w:tcBorders>
      </w:tcPr>
    </w:tblStylePr>
    <w:tblStylePr w:type="swCell">
      <w:tblPr/>
      <w:tcPr>
        <w:tcBorders>
          <w:top w:val="single" w:color="E11E77" w:themeColor="accent1" w:themeTint="99" w:sz="4" w:space="0"/>
        </w:tcBorders>
      </w:tcPr>
    </w:tblStylePr>
  </w:style>
  <w:style w:type="table" w:styleId="GridTable7Colo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color="FF8E8E" w:themeColor="accent2" w:themeTint="99" w:sz="4" w:space="0"/>
        </w:tcBorders>
      </w:tcPr>
    </w:tblStylePr>
    <w:tblStylePr w:type="nwCell">
      <w:tblPr/>
      <w:tcPr>
        <w:tcBorders>
          <w:bottom w:val="single" w:color="FF8E8E" w:themeColor="accent2" w:themeTint="99" w:sz="4" w:space="0"/>
        </w:tcBorders>
      </w:tcPr>
    </w:tblStylePr>
    <w:tblStylePr w:type="seCell">
      <w:tblPr/>
      <w:tcPr>
        <w:tcBorders>
          <w:top w:val="single" w:color="FF8E8E" w:themeColor="accent2" w:themeTint="99" w:sz="4" w:space="0"/>
        </w:tcBorders>
      </w:tcPr>
    </w:tblStylePr>
    <w:tblStylePr w:type="swCell">
      <w:tblPr/>
      <w:tcPr>
        <w:tcBorders>
          <w:top w:val="single" w:color="FF8E8E" w:themeColor="accent2" w:themeTint="99" w:sz="4" w:space="0"/>
        </w:tcBorders>
      </w:tcPr>
    </w:tblStylePr>
  </w:style>
  <w:style w:type="table" w:styleId="GridTable7Colo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color="15EFFF" w:themeColor="accent3" w:themeTint="99" w:sz="4" w:space="0"/>
        </w:tcBorders>
      </w:tcPr>
    </w:tblStylePr>
    <w:tblStylePr w:type="nwCell">
      <w:tblPr/>
      <w:tcPr>
        <w:tcBorders>
          <w:bottom w:val="single" w:color="15EFFF" w:themeColor="accent3" w:themeTint="99" w:sz="4" w:space="0"/>
        </w:tcBorders>
      </w:tcPr>
    </w:tblStylePr>
    <w:tblStylePr w:type="seCell">
      <w:tblPr/>
      <w:tcPr>
        <w:tcBorders>
          <w:top w:val="single" w:color="15EFFF" w:themeColor="accent3" w:themeTint="99" w:sz="4" w:space="0"/>
        </w:tcBorders>
      </w:tcPr>
    </w:tblStylePr>
    <w:tblStylePr w:type="swCell">
      <w:tblPr/>
      <w:tcPr>
        <w:tcBorders>
          <w:top w:val="single" w:color="15EFFF" w:themeColor="accent3" w:themeTint="99" w:sz="4" w:space="0"/>
        </w:tcBorders>
      </w:tcPr>
    </w:tblStylePr>
  </w:style>
  <w:style w:type="table" w:styleId="GridTable7Colo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color="C9B5BE" w:themeColor="accent4" w:themeTint="99" w:sz="4" w:space="0"/>
        </w:tcBorders>
      </w:tcPr>
    </w:tblStylePr>
    <w:tblStylePr w:type="nwCell">
      <w:tblPr/>
      <w:tcPr>
        <w:tcBorders>
          <w:bottom w:val="single" w:color="C9B5BE" w:themeColor="accent4" w:themeTint="99" w:sz="4" w:space="0"/>
        </w:tcBorders>
      </w:tcPr>
    </w:tblStylePr>
    <w:tblStylePr w:type="seCell">
      <w:tblPr/>
      <w:tcPr>
        <w:tcBorders>
          <w:top w:val="single" w:color="C9B5BE" w:themeColor="accent4" w:themeTint="99" w:sz="4" w:space="0"/>
        </w:tcBorders>
      </w:tcPr>
    </w:tblStylePr>
    <w:tblStylePr w:type="swCell">
      <w:tblPr/>
      <w:tcPr>
        <w:tcBorders>
          <w:top w:val="single" w:color="C9B5BE" w:themeColor="accent4" w:themeTint="99" w:sz="4" w:space="0"/>
        </w:tcBorders>
      </w:tcPr>
    </w:tblStylePr>
  </w:style>
  <w:style w:type="table" w:styleId="GridTable7Colo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color="FFC6C6" w:themeColor="accent5" w:themeTint="99" w:sz="4" w:space="0"/>
        </w:tcBorders>
      </w:tcPr>
    </w:tblStylePr>
    <w:tblStylePr w:type="nwCell">
      <w:tblPr/>
      <w:tcPr>
        <w:tcBorders>
          <w:bottom w:val="single" w:color="FFC6C6" w:themeColor="accent5" w:themeTint="99" w:sz="4" w:space="0"/>
        </w:tcBorders>
      </w:tcPr>
    </w:tblStylePr>
    <w:tblStylePr w:type="seCell">
      <w:tblPr/>
      <w:tcPr>
        <w:tcBorders>
          <w:top w:val="single" w:color="FFC6C6" w:themeColor="accent5" w:themeTint="99" w:sz="4" w:space="0"/>
        </w:tcBorders>
      </w:tcPr>
    </w:tblStylePr>
    <w:tblStylePr w:type="swCell">
      <w:tblPr/>
      <w:tcPr>
        <w:tcBorders>
          <w:top w:val="single" w:color="FFC6C6" w:themeColor="accent5" w:themeTint="99" w:sz="4" w:space="0"/>
        </w:tcBorders>
      </w:tcPr>
    </w:tblStylePr>
  </w:style>
  <w:style w:type="table" w:styleId="GridTable7Colo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color="B2D4D6" w:themeColor="accent6" w:themeTint="99" w:sz="4" w:space="0"/>
        </w:tcBorders>
      </w:tcPr>
    </w:tblStylePr>
    <w:tblStylePr w:type="nwCell">
      <w:tblPr/>
      <w:tcPr>
        <w:tcBorders>
          <w:bottom w:val="single" w:color="B2D4D6" w:themeColor="accent6" w:themeTint="99" w:sz="4" w:space="0"/>
        </w:tcBorders>
      </w:tcPr>
    </w:tblStylePr>
    <w:tblStylePr w:type="seCell">
      <w:tblPr/>
      <w:tcPr>
        <w:tcBorders>
          <w:top w:val="single" w:color="B2D4D6" w:themeColor="accent6" w:themeTint="99" w:sz="4" w:space="0"/>
        </w:tcBorders>
      </w:tcPr>
    </w:tblStylePr>
    <w:tblStylePr w:type="swCell">
      <w:tblPr/>
      <w:tcPr>
        <w:tcBorders>
          <w:top w:val="single" w:color="B2D4D6" w:themeColor="accent6" w:themeTint="99" w:sz="4" w:space="0"/>
        </w:tcBorders>
      </w:tcPr>
    </w:tblStylePr>
  </w:style>
  <w:style w:type="table" w:styleId="TableGridLight">
    <w:name w:val="Grid Table Light"/>
    <w:basedOn w:val="TableNormal"/>
    <w:uiPriority w:val="40"/>
    <w:rsid w:val="00253C0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styleId="HTMLAddressChar" w:customStyle="1">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styleId="Heading8Char" w:customStyle="1">
    <w:name w:val="Heading 8 Char"/>
    <w:basedOn w:val="DefaultParagraphFont"/>
    <w:link w:val="Heading8"/>
    <w:uiPriority w:val="14"/>
    <w:semiHidden/>
    <w:rsid w:val="00506D7A"/>
    <w:rPr>
      <w:rFonts w:asciiTheme="majorHAnsi" w:hAnsiTheme="majorHAnsi" w:eastAsiaTheme="majorEastAsia" w:cstheme="majorBidi"/>
      <w:color w:val="272727" w:themeColor="text1" w:themeTint="D8"/>
      <w:szCs w:val="21"/>
    </w:rPr>
  </w:style>
  <w:style w:type="character" w:styleId="Heading9Char" w:customStyle="1">
    <w:name w:val="Heading 9 Char"/>
    <w:basedOn w:val="DefaultParagraphFont"/>
    <w:link w:val="Heading9"/>
    <w:uiPriority w:val="14"/>
    <w:semiHidden/>
    <w:rsid w:val="00506D7A"/>
    <w:rPr>
      <w:rFonts w:asciiTheme="majorHAnsi" w:hAnsiTheme="majorHAnsi" w:eastAsiaTheme="majorEastAsia" w:cstheme="majorBidi"/>
      <w:i/>
      <w:iCs/>
      <w:color w:val="272727" w:themeColor="text1" w:themeTint="D8"/>
      <w:szCs w:val="21"/>
    </w:rPr>
  </w:style>
  <w:style w:type="character" w:styleId="Hyperlink">
    <w:name w:val="Hyperlink"/>
    <w:basedOn w:val="DefaultParagraphFont"/>
    <w:uiPriority w:val="99"/>
    <w:rsid w:val="005832BD"/>
    <w:rPr>
      <w:color w:val="007076"/>
      <w:u w:val="single"/>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hAnsiTheme="majorHAnsi" w:eastAsiaTheme="majorEastAsia"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color="4B0A28" w:themeColor="accent1" w:sz="4" w:space="10"/>
        <w:bottom w:val="single" w:color="4B0A28" w:themeColor="accent1" w:sz="4" w:space="10"/>
      </w:pBdr>
      <w:spacing w:before="360" w:after="360"/>
      <w:ind w:left="864" w:right="864"/>
      <w:jc w:val="center"/>
    </w:pPr>
    <w:rPr>
      <w:i/>
      <w:iCs/>
      <w:color w:val="4B0A28" w:themeColor="accent1"/>
    </w:rPr>
  </w:style>
  <w:style w:type="character" w:styleId="IntenseQuoteChar" w:customStyle="1">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insideH w:val="single" w:color="4B0A28" w:themeColor="accent1" w:sz="8" w:space="0"/>
        <w:insideV w:val="single" w:color="4B0A2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0A28" w:themeColor="accent1" w:sz="8" w:space="0"/>
          <w:left w:val="single" w:color="4B0A28" w:themeColor="accent1" w:sz="8" w:space="0"/>
          <w:bottom w:val="single" w:color="4B0A28" w:themeColor="accent1" w:sz="18" w:space="0"/>
          <w:right w:val="single" w:color="4B0A28" w:themeColor="accent1" w:sz="8" w:space="0"/>
          <w:insideH w:val="nil"/>
          <w:insideV w:val="single" w:color="4B0A2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0A28" w:themeColor="accent1" w:sz="6" w:space="0"/>
          <w:left w:val="single" w:color="4B0A28" w:themeColor="accent1" w:sz="8" w:space="0"/>
          <w:bottom w:val="single" w:color="4B0A28" w:themeColor="accent1" w:sz="8" w:space="0"/>
          <w:right w:val="single" w:color="4B0A28" w:themeColor="accent1" w:sz="8" w:space="0"/>
          <w:insideH w:val="nil"/>
          <w:insideV w:val="single" w:color="4B0A2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tblStylePr w:type="band1Vert">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shd w:val="clear" w:color="auto" w:fill="F2A2C7" w:themeFill="accent1" w:themeFillTint="3F"/>
      </w:tcPr>
    </w:tblStylePr>
    <w:tblStylePr w:type="band1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insideV w:val="single" w:color="4B0A28" w:themeColor="accent1" w:sz="8" w:space="0"/>
        </w:tcBorders>
        <w:shd w:val="clear" w:color="auto" w:fill="F2A2C7" w:themeFill="accent1" w:themeFillTint="3F"/>
      </w:tcPr>
    </w:tblStylePr>
    <w:tblStylePr w:type="band2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insideV w:val="single" w:color="4B0A28" w:themeColor="accent1" w:sz="8" w:space="0"/>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insideH w:val="single" w:color="FF4543" w:themeColor="accent2" w:sz="8" w:space="0"/>
        <w:insideV w:val="single" w:color="FF454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4543" w:themeColor="accent2" w:sz="8" w:space="0"/>
          <w:left w:val="single" w:color="FF4543" w:themeColor="accent2" w:sz="8" w:space="0"/>
          <w:bottom w:val="single" w:color="FF4543" w:themeColor="accent2" w:sz="18" w:space="0"/>
          <w:right w:val="single" w:color="FF4543" w:themeColor="accent2" w:sz="8" w:space="0"/>
          <w:insideH w:val="nil"/>
          <w:insideV w:val="single" w:color="FF454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4543" w:themeColor="accent2" w:sz="6" w:space="0"/>
          <w:left w:val="single" w:color="FF4543" w:themeColor="accent2" w:sz="8" w:space="0"/>
          <w:bottom w:val="single" w:color="FF4543" w:themeColor="accent2" w:sz="8" w:space="0"/>
          <w:right w:val="single" w:color="FF4543" w:themeColor="accent2" w:sz="8" w:space="0"/>
          <w:insideH w:val="nil"/>
          <w:insideV w:val="single" w:color="FF4543"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tblStylePr w:type="band1Vert">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shd w:val="clear" w:color="auto" w:fill="FFD0D0" w:themeFill="accent2" w:themeFillTint="3F"/>
      </w:tcPr>
    </w:tblStylePr>
    <w:tblStylePr w:type="band1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insideV w:val="single" w:color="FF4543" w:themeColor="accent2" w:sz="8" w:space="0"/>
        </w:tcBorders>
        <w:shd w:val="clear" w:color="auto" w:fill="FFD0D0" w:themeFill="accent2" w:themeFillTint="3F"/>
      </w:tcPr>
    </w:tblStylePr>
    <w:tblStylePr w:type="band2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insideV w:val="single" w:color="FF4543" w:themeColor="accent2" w:sz="8" w:space="0"/>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insideH w:val="single" w:color="007078" w:themeColor="accent3" w:sz="8" w:space="0"/>
        <w:insideV w:val="single" w:color="007078"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7078" w:themeColor="accent3" w:sz="8" w:space="0"/>
          <w:left w:val="single" w:color="007078" w:themeColor="accent3" w:sz="8" w:space="0"/>
          <w:bottom w:val="single" w:color="007078" w:themeColor="accent3" w:sz="18" w:space="0"/>
          <w:right w:val="single" w:color="007078" w:themeColor="accent3" w:sz="8" w:space="0"/>
          <w:insideH w:val="nil"/>
          <w:insideV w:val="single" w:color="007078"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7078" w:themeColor="accent3" w:sz="6" w:space="0"/>
          <w:left w:val="single" w:color="007078" w:themeColor="accent3" w:sz="8" w:space="0"/>
          <w:bottom w:val="single" w:color="007078" w:themeColor="accent3" w:sz="8" w:space="0"/>
          <w:right w:val="single" w:color="007078" w:themeColor="accent3" w:sz="8" w:space="0"/>
          <w:insideH w:val="nil"/>
          <w:insideV w:val="single" w:color="007078"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tblStylePr w:type="band1Vert">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shd w:val="clear" w:color="auto" w:fill="9EF8FF" w:themeFill="accent3" w:themeFillTint="3F"/>
      </w:tcPr>
    </w:tblStylePr>
    <w:tblStylePr w:type="band1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insideV w:val="single" w:color="007078" w:themeColor="accent3" w:sz="8" w:space="0"/>
        </w:tcBorders>
        <w:shd w:val="clear" w:color="auto" w:fill="9EF8FF" w:themeFill="accent3" w:themeFillTint="3F"/>
      </w:tcPr>
    </w:tblStylePr>
    <w:tblStylePr w:type="band2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insideV w:val="single" w:color="007078" w:themeColor="accent3" w:sz="8" w:space="0"/>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insideH w:val="single" w:color="A58594" w:themeColor="accent4" w:sz="8" w:space="0"/>
        <w:insideV w:val="single" w:color="A58594"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8594" w:themeColor="accent4" w:sz="8" w:space="0"/>
          <w:left w:val="single" w:color="A58594" w:themeColor="accent4" w:sz="8" w:space="0"/>
          <w:bottom w:val="single" w:color="A58594" w:themeColor="accent4" w:sz="18" w:space="0"/>
          <w:right w:val="single" w:color="A58594" w:themeColor="accent4" w:sz="8" w:space="0"/>
          <w:insideH w:val="nil"/>
          <w:insideV w:val="single" w:color="A58594"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8594" w:themeColor="accent4" w:sz="6" w:space="0"/>
          <w:left w:val="single" w:color="A58594" w:themeColor="accent4" w:sz="8" w:space="0"/>
          <w:bottom w:val="single" w:color="A58594" w:themeColor="accent4" w:sz="8" w:space="0"/>
          <w:right w:val="single" w:color="A58594" w:themeColor="accent4" w:sz="8" w:space="0"/>
          <w:insideH w:val="nil"/>
          <w:insideV w:val="single" w:color="A58594"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tblStylePr w:type="band1Vert">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shd w:val="clear" w:color="auto" w:fill="E8E0E4" w:themeFill="accent4" w:themeFillTint="3F"/>
      </w:tcPr>
    </w:tblStylePr>
    <w:tblStylePr w:type="band1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insideV w:val="single" w:color="A58594" w:themeColor="accent4" w:sz="8" w:space="0"/>
        </w:tcBorders>
        <w:shd w:val="clear" w:color="auto" w:fill="E8E0E4" w:themeFill="accent4" w:themeFillTint="3F"/>
      </w:tcPr>
    </w:tblStylePr>
    <w:tblStylePr w:type="band2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insideV w:val="single" w:color="A58594" w:themeColor="accent4" w:sz="8" w:space="0"/>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insideH w:val="single" w:color="FFA2A1" w:themeColor="accent5" w:sz="8" w:space="0"/>
        <w:insideV w:val="single" w:color="FFA2A1"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A2A1" w:themeColor="accent5" w:sz="8" w:space="0"/>
          <w:left w:val="single" w:color="FFA2A1" w:themeColor="accent5" w:sz="8" w:space="0"/>
          <w:bottom w:val="single" w:color="FFA2A1" w:themeColor="accent5" w:sz="18" w:space="0"/>
          <w:right w:val="single" w:color="FFA2A1" w:themeColor="accent5" w:sz="8" w:space="0"/>
          <w:insideH w:val="nil"/>
          <w:insideV w:val="single" w:color="FFA2A1"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A2A1" w:themeColor="accent5" w:sz="6" w:space="0"/>
          <w:left w:val="single" w:color="FFA2A1" w:themeColor="accent5" w:sz="8" w:space="0"/>
          <w:bottom w:val="single" w:color="FFA2A1" w:themeColor="accent5" w:sz="8" w:space="0"/>
          <w:right w:val="single" w:color="FFA2A1" w:themeColor="accent5" w:sz="8" w:space="0"/>
          <w:insideH w:val="nil"/>
          <w:insideV w:val="single" w:color="FFA2A1"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tblStylePr w:type="band1Vert">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shd w:val="clear" w:color="auto" w:fill="FFE7E7" w:themeFill="accent5" w:themeFillTint="3F"/>
      </w:tcPr>
    </w:tblStylePr>
    <w:tblStylePr w:type="band1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insideV w:val="single" w:color="FFA2A1" w:themeColor="accent5" w:sz="8" w:space="0"/>
        </w:tcBorders>
        <w:shd w:val="clear" w:color="auto" w:fill="FFE7E7" w:themeFill="accent5" w:themeFillTint="3F"/>
      </w:tcPr>
    </w:tblStylePr>
    <w:tblStylePr w:type="band2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insideV w:val="single" w:color="FFA2A1" w:themeColor="accent5" w:sz="8" w:space="0"/>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insideH w:val="single" w:color="80B8BC" w:themeColor="accent6" w:sz="8" w:space="0"/>
        <w:insideV w:val="single" w:color="80B8BC"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B8BC" w:themeColor="accent6" w:sz="8" w:space="0"/>
          <w:left w:val="single" w:color="80B8BC" w:themeColor="accent6" w:sz="8" w:space="0"/>
          <w:bottom w:val="single" w:color="80B8BC" w:themeColor="accent6" w:sz="18" w:space="0"/>
          <w:right w:val="single" w:color="80B8BC" w:themeColor="accent6" w:sz="8" w:space="0"/>
          <w:insideH w:val="nil"/>
          <w:insideV w:val="single" w:color="80B8BC"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B8BC" w:themeColor="accent6" w:sz="6" w:space="0"/>
          <w:left w:val="single" w:color="80B8BC" w:themeColor="accent6" w:sz="8" w:space="0"/>
          <w:bottom w:val="single" w:color="80B8BC" w:themeColor="accent6" w:sz="8" w:space="0"/>
          <w:right w:val="single" w:color="80B8BC" w:themeColor="accent6" w:sz="8" w:space="0"/>
          <w:insideH w:val="nil"/>
          <w:insideV w:val="single" w:color="80B8BC"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tblStylePr w:type="band1Vert">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shd w:val="clear" w:color="auto" w:fill="DFEDEE" w:themeFill="accent6" w:themeFillTint="3F"/>
      </w:tcPr>
    </w:tblStylePr>
    <w:tblStylePr w:type="band1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insideV w:val="single" w:color="80B8BC" w:themeColor="accent6" w:sz="8" w:space="0"/>
        </w:tcBorders>
        <w:shd w:val="clear" w:color="auto" w:fill="DFEDEE" w:themeFill="accent6" w:themeFillTint="3F"/>
      </w:tcPr>
    </w:tblStylePr>
    <w:tblStylePr w:type="band2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insideV w:val="single" w:color="80B8BC" w:themeColor="accent6" w:sz="8" w:space="0"/>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color="4B0A28" w:themeColor="accent1" w:sz="6" w:space="0"/>
          <w:left w:val="single" w:color="4B0A28" w:themeColor="accent1" w:sz="8" w:space="0"/>
          <w:bottom w:val="single" w:color="4B0A28" w:themeColor="accent1" w:sz="8" w:space="0"/>
          <w:right w:val="single" w:color="4B0A28" w:themeColor="accent1" w:sz="8" w:space="0"/>
        </w:tcBorders>
      </w:tcPr>
    </w:tblStylePr>
    <w:tblStylePr w:type="firstCol">
      <w:rPr>
        <w:b/>
        <w:bCs/>
      </w:rPr>
    </w:tblStylePr>
    <w:tblStylePr w:type="lastCol">
      <w:rPr>
        <w:b/>
        <w:bCs/>
      </w:rPr>
    </w:tblStylePr>
    <w:tblStylePr w:type="band1Vert">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tblStylePr w:type="band1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color="FF4543" w:themeColor="accent2" w:sz="6" w:space="0"/>
          <w:left w:val="single" w:color="FF4543" w:themeColor="accent2" w:sz="8" w:space="0"/>
          <w:bottom w:val="single" w:color="FF4543" w:themeColor="accent2" w:sz="8" w:space="0"/>
          <w:right w:val="single" w:color="FF4543" w:themeColor="accent2" w:sz="8" w:space="0"/>
        </w:tcBorders>
      </w:tcPr>
    </w:tblStylePr>
    <w:tblStylePr w:type="firstCol">
      <w:rPr>
        <w:b/>
        <w:bCs/>
      </w:rPr>
    </w:tblStylePr>
    <w:tblStylePr w:type="lastCol">
      <w:rPr>
        <w:b/>
        <w:bCs/>
      </w:rPr>
    </w:tblStylePr>
    <w:tblStylePr w:type="band1Vert">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tblStylePr w:type="band1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color="007078" w:themeColor="accent3" w:sz="6" w:space="0"/>
          <w:left w:val="single" w:color="007078" w:themeColor="accent3" w:sz="8" w:space="0"/>
          <w:bottom w:val="single" w:color="007078" w:themeColor="accent3" w:sz="8" w:space="0"/>
          <w:right w:val="single" w:color="007078" w:themeColor="accent3" w:sz="8" w:space="0"/>
        </w:tcBorders>
      </w:tcPr>
    </w:tblStylePr>
    <w:tblStylePr w:type="firstCol">
      <w:rPr>
        <w:b/>
        <w:bCs/>
      </w:rPr>
    </w:tblStylePr>
    <w:tblStylePr w:type="lastCol">
      <w:rPr>
        <w:b/>
        <w:bCs/>
      </w:rPr>
    </w:tblStylePr>
    <w:tblStylePr w:type="band1Vert">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tblStylePr w:type="band1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color="A58594" w:themeColor="accent4" w:sz="6" w:space="0"/>
          <w:left w:val="single" w:color="A58594" w:themeColor="accent4" w:sz="8" w:space="0"/>
          <w:bottom w:val="single" w:color="A58594" w:themeColor="accent4" w:sz="8" w:space="0"/>
          <w:right w:val="single" w:color="A58594" w:themeColor="accent4" w:sz="8" w:space="0"/>
        </w:tcBorders>
      </w:tcPr>
    </w:tblStylePr>
    <w:tblStylePr w:type="firstCol">
      <w:rPr>
        <w:b/>
        <w:bCs/>
      </w:rPr>
    </w:tblStylePr>
    <w:tblStylePr w:type="lastCol">
      <w:rPr>
        <w:b/>
        <w:bCs/>
      </w:rPr>
    </w:tblStylePr>
    <w:tblStylePr w:type="band1Vert">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tblStylePr w:type="band1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color="FFA2A1" w:themeColor="accent5" w:sz="6" w:space="0"/>
          <w:left w:val="single" w:color="FFA2A1" w:themeColor="accent5" w:sz="8" w:space="0"/>
          <w:bottom w:val="single" w:color="FFA2A1" w:themeColor="accent5" w:sz="8" w:space="0"/>
          <w:right w:val="single" w:color="FFA2A1" w:themeColor="accent5" w:sz="8" w:space="0"/>
        </w:tcBorders>
      </w:tcPr>
    </w:tblStylePr>
    <w:tblStylePr w:type="firstCol">
      <w:rPr>
        <w:b/>
        <w:bCs/>
      </w:rPr>
    </w:tblStylePr>
    <w:tblStylePr w:type="lastCol">
      <w:rPr>
        <w:b/>
        <w:bCs/>
      </w:rPr>
    </w:tblStylePr>
    <w:tblStylePr w:type="band1Vert">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tblStylePr w:type="band1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color="80B8BC" w:themeColor="accent6" w:sz="6" w:space="0"/>
          <w:left w:val="single" w:color="80B8BC" w:themeColor="accent6" w:sz="8" w:space="0"/>
          <w:bottom w:val="single" w:color="80B8BC" w:themeColor="accent6" w:sz="8" w:space="0"/>
          <w:right w:val="single" w:color="80B8BC" w:themeColor="accent6" w:sz="8" w:space="0"/>
        </w:tcBorders>
      </w:tcPr>
    </w:tblStylePr>
    <w:tblStylePr w:type="firstCol">
      <w:rPr>
        <w:b/>
        <w:bCs/>
      </w:rPr>
    </w:tblStylePr>
    <w:tblStylePr w:type="lastCol">
      <w:rPr>
        <w:b/>
        <w:bCs/>
      </w:rPr>
    </w:tblStylePr>
    <w:tblStylePr w:type="band1Vert">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tblStylePr w:type="band1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color="4B0A28" w:themeColor="accent1" w:sz="8" w:space="0"/>
        <w:bottom w:val="single" w:color="4B0A28" w:themeColor="accent1" w:sz="8" w:space="0"/>
      </w:tblBorders>
    </w:tblPr>
    <w:tblStylePr w:type="firstRow">
      <w:pPr>
        <w:spacing w:before="0" w:after="0" w:line="240" w:lineRule="auto"/>
      </w:pPr>
      <w:rPr>
        <w:b/>
        <w:bCs/>
      </w:rPr>
      <w:tblPr/>
      <w:tcPr>
        <w:tcBorders>
          <w:top w:val="single" w:color="4B0A28" w:themeColor="accent1" w:sz="8" w:space="0"/>
          <w:left w:val="nil"/>
          <w:bottom w:val="single" w:color="4B0A28" w:themeColor="accent1" w:sz="8" w:space="0"/>
          <w:right w:val="nil"/>
          <w:insideH w:val="nil"/>
          <w:insideV w:val="nil"/>
        </w:tcBorders>
      </w:tcPr>
    </w:tblStylePr>
    <w:tblStylePr w:type="lastRow">
      <w:pPr>
        <w:spacing w:before="0" w:after="0" w:line="240" w:lineRule="auto"/>
      </w:pPr>
      <w:rPr>
        <w:b/>
        <w:bCs/>
      </w:rPr>
      <w:tblPr/>
      <w:tcPr>
        <w:tcBorders>
          <w:top w:val="single" w:color="4B0A28" w:themeColor="accent1" w:sz="8" w:space="0"/>
          <w:left w:val="nil"/>
          <w:bottom w:val="single" w:color="4B0A2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color="FF4543" w:themeColor="accent2" w:sz="8" w:space="0"/>
        <w:bottom w:val="single" w:color="FF4543" w:themeColor="accent2" w:sz="8" w:space="0"/>
      </w:tblBorders>
    </w:tblPr>
    <w:tblStylePr w:type="firstRow">
      <w:pPr>
        <w:spacing w:before="0" w:after="0" w:line="240" w:lineRule="auto"/>
      </w:pPr>
      <w:rPr>
        <w:b/>
        <w:bCs/>
      </w:rPr>
      <w:tblPr/>
      <w:tcPr>
        <w:tcBorders>
          <w:top w:val="single" w:color="FF4543" w:themeColor="accent2" w:sz="8" w:space="0"/>
          <w:left w:val="nil"/>
          <w:bottom w:val="single" w:color="FF4543" w:themeColor="accent2" w:sz="8" w:space="0"/>
          <w:right w:val="nil"/>
          <w:insideH w:val="nil"/>
          <w:insideV w:val="nil"/>
        </w:tcBorders>
      </w:tcPr>
    </w:tblStylePr>
    <w:tblStylePr w:type="lastRow">
      <w:pPr>
        <w:spacing w:before="0" w:after="0" w:line="240" w:lineRule="auto"/>
      </w:pPr>
      <w:rPr>
        <w:b/>
        <w:bCs/>
      </w:rPr>
      <w:tblPr/>
      <w:tcPr>
        <w:tcBorders>
          <w:top w:val="single" w:color="FF4543" w:themeColor="accent2" w:sz="8" w:space="0"/>
          <w:left w:val="nil"/>
          <w:bottom w:val="single" w:color="FF4543"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color="007078" w:themeColor="accent3" w:sz="8" w:space="0"/>
        <w:bottom w:val="single" w:color="007078" w:themeColor="accent3" w:sz="8" w:space="0"/>
      </w:tblBorders>
    </w:tblPr>
    <w:tblStylePr w:type="firstRow">
      <w:pPr>
        <w:spacing w:before="0" w:after="0" w:line="240" w:lineRule="auto"/>
      </w:pPr>
      <w:rPr>
        <w:b/>
        <w:bCs/>
      </w:rPr>
      <w:tblPr/>
      <w:tcPr>
        <w:tcBorders>
          <w:top w:val="single" w:color="007078" w:themeColor="accent3" w:sz="8" w:space="0"/>
          <w:left w:val="nil"/>
          <w:bottom w:val="single" w:color="007078" w:themeColor="accent3" w:sz="8" w:space="0"/>
          <w:right w:val="nil"/>
          <w:insideH w:val="nil"/>
          <w:insideV w:val="nil"/>
        </w:tcBorders>
      </w:tcPr>
    </w:tblStylePr>
    <w:tblStylePr w:type="lastRow">
      <w:pPr>
        <w:spacing w:before="0" w:after="0" w:line="240" w:lineRule="auto"/>
      </w:pPr>
      <w:rPr>
        <w:b/>
        <w:bCs/>
      </w:rPr>
      <w:tblPr/>
      <w:tcPr>
        <w:tcBorders>
          <w:top w:val="single" w:color="007078" w:themeColor="accent3" w:sz="8" w:space="0"/>
          <w:left w:val="nil"/>
          <w:bottom w:val="single" w:color="007078"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color="A58594" w:themeColor="accent4" w:sz="8" w:space="0"/>
        <w:bottom w:val="single" w:color="A58594" w:themeColor="accent4" w:sz="8" w:space="0"/>
      </w:tblBorders>
    </w:tblPr>
    <w:tblStylePr w:type="firstRow">
      <w:pPr>
        <w:spacing w:before="0" w:after="0" w:line="240" w:lineRule="auto"/>
      </w:pPr>
      <w:rPr>
        <w:b/>
        <w:bCs/>
      </w:rPr>
      <w:tblPr/>
      <w:tcPr>
        <w:tcBorders>
          <w:top w:val="single" w:color="A58594" w:themeColor="accent4" w:sz="8" w:space="0"/>
          <w:left w:val="nil"/>
          <w:bottom w:val="single" w:color="A58594" w:themeColor="accent4" w:sz="8" w:space="0"/>
          <w:right w:val="nil"/>
          <w:insideH w:val="nil"/>
          <w:insideV w:val="nil"/>
        </w:tcBorders>
      </w:tcPr>
    </w:tblStylePr>
    <w:tblStylePr w:type="lastRow">
      <w:pPr>
        <w:spacing w:before="0" w:after="0" w:line="240" w:lineRule="auto"/>
      </w:pPr>
      <w:rPr>
        <w:b/>
        <w:bCs/>
      </w:rPr>
      <w:tblPr/>
      <w:tcPr>
        <w:tcBorders>
          <w:top w:val="single" w:color="A58594" w:themeColor="accent4" w:sz="8" w:space="0"/>
          <w:left w:val="nil"/>
          <w:bottom w:val="single" w:color="A58594"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color="FFA2A1" w:themeColor="accent5" w:sz="8" w:space="0"/>
        <w:bottom w:val="single" w:color="FFA2A1" w:themeColor="accent5" w:sz="8" w:space="0"/>
      </w:tblBorders>
    </w:tblPr>
    <w:tblStylePr w:type="firstRow">
      <w:pPr>
        <w:spacing w:before="0" w:after="0" w:line="240" w:lineRule="auto"/>
      </w:pPr>
      <w:rPr>
        <w:b/>
        <w:bCs/>
      </w:rPr>
      <w:tblPr/>
      <w:tcPr>
        <w:tcBorders>
          <w:top w:val="single" w:color="FFA2A1" w:themeColor="accent5" w:sz="8" w:space="0"/>
          <w:left w:val="nil"/>
          <w:bottom w:val="single" w:color="FFA2A1" w:themeColor="accent5" w:sz="8" w:space="0"/>
          <w:right w:val="nil"/>
          <w:insideH w:val="nil"/>
          <w:insideV w:val="nil"/>
        </w:tcBorders>
      </w:tcPr>
    </w:tblStylePr>
    <w:tblStylePr w:type="lastRow">
      <w:pPr>
        <w:spacing w:before="0" w:after="0" w:line="240" w:lineRule="auto"/>
      </w:pPr>
      <w:rPr>
        <w:b/>
        <w:bCs/>
      </w:rPr>
      <w:tblPr/>
      <w:tcPr>
        <w:tcBorders>
          <w:top w:val="single" w:color="FFA2A1" w:themeColor="accent5" w:sz="8" w:space="0"/>
          <w:left w:val="nil"/>
          <w:bottom w:val="single" w:color="FFA2A1"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color="80B8BC" w:themeColor="accent6" w:sz="8" w:space="0"/>
        <w:bottom w:val="single" w:color="80B8BC" w:themeColor="accent6" w:sz="8" w:space="0"/>
      </w:tblBorders>
    </w:tblPr>
    <w:tblStylePr w:type="firstRow">
      <w:pPr>
        <w:spacing w:before="0" w:after="0" w:line="240" w:lineRule="auto"/>
      </w:pPr>
      <w:rPr>
        <w:b/>
        <w:bCs/>
      </w:rPr>
      <w:tblPr/>
      <w:tcPr>
        <w:tcBorders>
          <w:top w:val="single" w:color="80B8BC" w:themeColor="accent6" w:sz="8" w:space="0"/>
          <w:left w:val="nil"/>
          <w:bottom w:val="single" w:color="80B8BC" w:themeColor="accent6" w:sz="8" w:space="0"/>
          <w:right w:val="nil"/>
          <w:insideH w:val="nil"/>
          <w:insideV w:val="nil"/>
        </w:tcBorders>
      </w:tcPr>
    </w:tblStylePr>
    <w:tblStylePr w:type="lastRow">
      <w:pPr>
        <w:spacing w:before="0" w:after="0" w:line="240" w:lineRule="auto"/>
      </w:pPr>
      <w:rPr>
        <w:b/>
        <w:bCs/>
      </w:rPr>
      <w:tblPr/>
      <w:tcPr>
        <w:tcBorders>
          <w:top w:val="single" w:color="80B8BC" w:themeColor="accent6" w:sz="8" w:space="0"/>
          <w:left w:val="nil"/>
          <w:bottom w:val="single" w:color="80B8BC"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color="E11E77" w:themeColor="accent1" w:themeTint="99" w:sz="4" w:space="0"/>
        </w:tcBorders>
      </w:tcPr>
    </w:tblStylePr>
    <w:tblStylePr w:type="lastRow">
      <w:rPr>
        <w:b/>
        <w:bCs/>
      </w:rPr>
      <w:tblPr/>
      <w:tcPr>
        <w:tcBorders>
          <w:top w:val="sing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color="FF8E8E" w:themeColor="accent2" w:themeTint="99" w:sz="4" w:space="0"/>
        </w:tcBorders>
      </w:tcPr>
    </w:tblStylePr>
    <w:tblStylePr w:type="lastRow">
      <w:rPr>
        <w:b/>
        <w:bCs/>
      </w:rPr>
      <w:tblPr/>
      <w:tcPr>
        <w:tcBorders>
          <w:top w:val="sing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color="15EFFF" w:themeColor="accent3" w:themeTint="99" w:sz="4" w:space="0"/>
        </w:tcBorders>
      </w:tcPr>
    </w:tblStylePr>
    <w:tblStylePr w:type="lastRow">
      <w:rPr>
        <w:b/>
        <w:bCs/>
      </w:rPr>
      <w:tblPr/>
      <w:tcPr>
        <w:tcBorders>
          <w:top w:val="sing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color="C9B5BE" w:themeColor="accent4" w:themeTint="99" w:sz="4" w:space="0"/>
        </w:tcBorders>
      </w:tcPr>
    </w:tblStylePr>
    <w:tblStylePr w:type="lastRow">
      <w:rPr>
        <w:b/>
        <w:bCs/>
      </w:rPr>
      <w:tblPr/>
      <w:tcPr>
        <w:tcBorders>
          <w:top w:val="sing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color="FFC6C6" w:themeColor="accent5" w:themeTint="99" w:sz="4" w:space="0"/>
        </w:tcBorders>
      </w:tcPr>
    </w:tblStylePr>
    <w:tblStylePr w:type="lastRow">
      <w:rPr>
        <w:b/>
        <w:bCs/>
      </w:rPr>
      <w:tblPr/>
      <w:tcPr>
        <w:tcBorders>
          <w:top w:val="sing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color="B2D4D6" w:themeColor="accent6" w:themeTint="99" w:sz="4" w:space="0"/>
        </w:tcBorders>
      </w:tcPr>
    </w:tblStylePr>
    <w:tblStylePr w:type="lastRow">
      <w:rPr>
        <w:b/>
        <w:bCs/>
      </w:rPr>
      <w:tblPr/>
      <w:tcPr>
        <w:tcBorders>
          <w:top w:val="sing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color="E11E77" w:themeColor="accent1" w:themeTint="99" w:sz="4" w:space="0"/>
        <w:bottom w:val="single" w:color="E11E77" w:themeColor="accent1" w:themeTint="99" w:sz="4" w:space="0"/>
        <w:insideH w:val="single" w:color="E11E7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color="FF8E8E" w:themeColor="accent2" w:themeTint="99" w:sz="4" w:space="0"/>
        <w:bottom w:val="single" w:color="FF8E8E" w:themeColor="accent2" w:themeTint="99" w:sz="4" w:space="0"/>
        <w:insideH w:val="single" w:color="FF8E8E"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color="15EFFF" w:themeColor="accent3" w:themeTint="99" w:sz="4" w:space="0"/>
        <w:bottom w:val="single" w:color="15EFFF" w:themeColor="accent3" w:themeTint="99" w:sz="4" w:space="0"/>
        <w:insideH w:val="single" w:color="15EFF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color="C9B5BE" w:themeColor="accent4" w:themeTint="99" w:sz="4" w:space="0"/>
        <w:bottom w:val="single" w:color="C9B5BE" w:themeColor="accent4" w:themeTint="99" w:sz="4" w:space="0"/>
        <w:insideH w:val="single" w:color="C9B5BE"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color="FFC6C6" w:themeColor="accent5" w:themeTint="99" w:sz="4" w:space="0"/>
        <w:bottom w:val="single" w:color="FFC6C6" w:themeColor="accent5" w:themeTint="99" w:sz="4" w:space="0"/>
        <w:insideH w:val="single" w:color="FFC6C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color="B2D4D6" w:themeColor="accent6" w:themeTint="99" w:sz="4" w:space="0"/>
        <w:bottom w:val="single" w:color="B2D4D6" w:themeColor="accent6" w:themeTint="99" w:sz="4" w:space="0"/>
        <w:insideH w:val="single" w:color="B2D4D6"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color="4B0A28" w:themeColor="accent1" w:sz="4" w:space="0"/>
        <w:left w:val="single" w:color="4B0A28" w:themeColor="accent1" w:sz="4" w:space="0"/>
        <w:bottom w:val="single" w:color="4B0A28" w:themeColor="accent1" w:sz="4" w:space="0"/>
        <w:right w:val="single" w:color="4B0A28" w:themeColor="accent1" w:sz="4" w:space="0"/>
      </w:tblBorders>
    </w:tblPr>
    <w:tblStylePr w:type="firstRow">
      <w:rPr>
        <w:b/>
        <w:bCs/>
        <w:color w:val="FFFFFF" w:themeColor="background1"/>
      </w:rPr>
      <w:tblPr/>
      <w:tcPr>
        <w:shd w:val="clear" w:color="auto" w:fill="4B0A28" w:themeFill="accent1"/>
      </w:tcPr>
    </w:tblStylePr>
    <w:tblStylePr w:type="lastRow">
      <w:rPr>
        <w:b/>
        <w:bCs/>
      </w:rPr>
      <w:tblPr/>
      <w:tcPr>
        <w:tcBorders>
          <w:top w:val="double" w:color="4B0A28"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B0A28" w:themeColor="accent1" w:sz="4" w:space="0"/>
          <w:right w:val="single" w:color="4B0A28" w:themeColor="accent1" w:sz="4" w:space="0"/>
        </w:tcBorders>
      </w:tcPr>
    </w:tblStylePr>
    <w:tblStylePr w:type="band1Horz">
      <w:tblPr/>
      <w:tcPr>
        <w:tcBorders>
          <w:top w:val="single" w:color="4B0A28" w:themeColor="accent1" w:sz="4" w:space="0"/>
          <w:bottom w:val="single" w:color="4B0A28"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B0A28" w:themeColor="accent1" w:sz="4" w:space="0"/>
          <w:left w:val="nil"/>
        </w:tcBorders>
      </w:tcPr>
    </w:tblStylePr>
    <w:tblStylePr w:type="swCell">
      <w:tblPr/>
      <w:tcPr>
        <w:tcBorders>
          <w:top w:val="double" w:color="4B0A28" w:themeColor="accent1" w:sz="4" w:space="0"/>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color="FF4543" w:themeColor="accent2" w:sz="4" w:space="0"/>
        <w:left w:val="single" w:color="FF4543" w:themeColor="accent2" w:sz="4" w:space="0"/>
        <w:bottom w:val="single" w:color="FF4543" w:themeColor="accent2" w:sz="4" w:space="0"/>
        <w:right w:val="single" w:color="FF4543" w:themeColor="accent2" w:sz="4" w:space="0"/>
      </w:tblBorders>
    </w:tblPr>
    <w:tblStylePr w:type="firstRow">
      <w:rPr>
        <w:b/>
        <w:bCs/>
        <w:color w:val="FFFFFF" w:themeColor="background1"/>
      </w:rPr>
      <w:tblPr/>
      <w:tcPr>
        <w:shd w:val="clear" w:color="auto" w:fill="FF4543" w:themeFill="accent2"/>
      </w:tcPr>
    </w:tblStylePr>
    <w:tblStylePr w:type="lastRow">
      <w:rPr>
        <w:b/>
        <w:bCs/>
      </w:rPr>
      <w:tblPr/>
      <w:tcPr>
        <w:tcBorders>
          <w:top w:val="double" w:color="FF454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4543" w:themeColor="accent2" w:sz="4" w:space="0"/>
          <w:right w:val="single" w:color="FF4543" w:themeColor="accent2" w:sz="4" w:space="0"/>
        </w:tcBorders>
      </w:tcPr>
    </w:tblStylePr>
    <w:tblStylePr w:type="band1Horz">
      <w:tblPr/>
      <w:tcPr>
        <w:tcBorders>
          <w:top w:val="single" w:color="FF4543" w:themeColor="accent2" w:sz="4" w:space="0"/>
          <w:bottom w:val="single" w:color="FF454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4543" w:themeColor="accent2" w:sz="4" w:space="0"/>
          <w:left w:val="nil"/>
        </w:tcBorders>
      </w:tcPr>
    </w:tblStylePr>
    <w:tblStylePr w:type="swCell">
      <w:tblPr/>
      <w:tcPr>
        <w:tcBorders>
          <w:top w:val="double" w:color="FF4543" w:themeColor="accent2" w:sz="4" w:space="0"/>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color="007078" w:themeColor="accent3" w:sz="4" w:space="0"/>
        <w:left w:val="single" w:color="007078" w:themeColor="accent3" w:sz="4" w:space="0"/>
        <w:bottom w:val="single" w:color="007078" w:themeColor="accent3" w:sz="4" w:space="0"/>
        <w:right w:val="single" w:color="007078" w:themeColor="accent3" w:sz="4" w:space="0"/>
      </w:tblBorders>
    </w:tblPr>
    <w:tblStylePr w:type="firstRow">
      <w:rPr>
        <w:b/>
        <w:bCs/>
        <w:color w:val="FFFFFF" w:themeColor="background1"/>
      </w:rPr>
      <w:tblPr/>
      <w:tcPr>
        <w:shd w:val="clear" w:color="auto" w:fill="007078" w:themeFill="accent3"/>
      </w:tcPr>
    </w:tblStylePr>
    <w:tblStylePr w:type="lastRow">
      <w:rPr>
        <w:b/>
        <w:bCs/>
      </w:rPr>
      <w:tblPr/>
      <w:tcPr>
        <w:tcBorders>
          <w:top w:val="double" w:color="007078"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7078" w:themeColor="accent3" w:sz="4" w:space="0"/>
          <w:right w:val="single" w:color="007078" w:themeColor="accent3" w:sz="4" w:space="0"/>
        </w:tcBorders>
      </w:tcPr>
    </w:tblStylePr>
    <w:tblStylePr w:type="band1Horz">
      <w:tblPr/>
      <w:tcPr>
        <w:tcBorders>
          <w:top w:val="single" w:color="007078" w:themeColor="accent3" w:sz="4" w:space="0"/>
          <w:bottom w:val="single" w:color="007078"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7078" w:themeColor="accent3" w:sz="4" w:space="0"/>
          <w:left w:val="nil"/>
        </w:tcBorders>
      </w:tcPr>
    </w:tblStylePr>
    <w:tblStylePr w:type="swCell">
      <w:tblPr/>
      <w:tcPr>
        <w:tcBorders>
          <w:top w:val="double" w:color="007078" w:themeColor="accent3" w:sz="4" w:space="0"/>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color="A58594" w:themeColor="accent4" w:sz="4" w:space="0"/>
        <w:left w:val="single" w:color="A58594" w:themeColor="accent4" w:sz="4" w:space="0"/>
        <w:bottom w:val="single" w:color="A58594" w:themeColor="accent4" w:sz="4" w:space="0"/>
        <w:right w:val="single" w:color="A58594" w:themeColor="accent4" w:sz="4" w:space="0"/>
      </w:tblBorders>
    </w:tblPr>
    <w:tblStylePr w:type="firstRow">
      <w:rPr>
        <w:b/>
        <w:bCs/>
        <w:color w:val="FFFFFF" w:themeColor="background1"/>
      </w:rPr>
      <w:tblPr/>
      <w:tcPr>
        <w:shd w:val="clear" w:color="auto" w:fill="A58594" w:themeFill="accent4"/>
      </w:tcPr>
    </w:tblStylePr>
    <w:tblStylePr w:type="lastRow">
      <w:rPr>
        <w:b/>
        <w:bCs/>
      </w:rPr>
      <w:tblPr/>
      <w:tcPr>
        <w:tcBorders>
          <w:top w:val="double" w:color="A58594"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8594" w:themeColor="accent4" w:sz="4" w:space="0"/>
          <w:right w:val="single" w:color="A58594" w:themeColor="accent4" w:sz="4" w:space="0"/>
        </w:tcBorders>
      </w:tcPr>
    </w:tblStylePr>
    <w:tblStylePr w:type="band1Horz">
      <w:tblPr/>
      <w:tcPr>
        <w:tcBorders>
          <w:top w:val="single" w:color="A58594" w:themeColor="accent4" w:sz="4" w:space="0"/>
          <w:bottom w:val="single" w:color="A58594"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8594" w:themeColor="accent4" w:sz="4" w:space="0"/>
          <w:left w:val="nil"/>
        </w:tcBorders>
      </w:tcPr>
    </w:tblStylePr>
    <w:tblStylePr w:type="swCell">
      <w:tblPr/>
      <w:tcPr>
        <w:tcBorders>
          <w:top w:val="double" w:color="A58594" w:themeColor="accent4" w:sz="4" w:space="0"/>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color="FFA2A1" w:themeColor="accent5" w:sz="4" w:space="0"/>
        <w:left w:val="single" w:color="FFA2A1" w:themeColor="accent5" w:sz="4" w:space="0"/>
        <w:bottom w:val="single" w:color="FFA2A1" w:themeColor="accent5" w:sz="4" w:space="0"/>
        <w:right w:val="single" w:color="FFA2A1" w:themeColor="accent5" w:sz="4" w:space="0"/>
      </w:tblBorders>
    </w:tblPr>
    <w:tblStylePr w:type="firstRow">
      <w:rPr>
        <w:b/>
        <w:bCs/>
        <w:color w:val="FFFFFF" w:themeColor="background1"/>
      </w:rPr>
      <w:tblPr/>
      <w:tcPr>
        <w:shd w:val="clear" w:color="auto" w:fill="FFA2A1" w:themeFill="accent5"/>
      </w:tcPr>
    </w:tblStylePr>
    <w:tblStylePr w:type="lastRow">
      <w:rPr>
        <w:b/>
        <w:bCs/>
      </w:rPr>
      <w:tblPr/>
      <w:tcPr>
        <w:tcBorders>
          <w:top w:val="double" w:color="FFA2A1"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A2A1" w:themeColor="accent5" w:sz="4" w:space="0"/>
          <w:right w:val="single" w:color="FFA2A1" w:themeColor="accent5" w:sz="4" w:space="0"/>
        </w:tcBorders>
      </w:tcPr>
    </w:tblStylePr>
    <w:tblStylePr w:type="band1Horz">
      <w:tblPr/>
      <w:tcPr>
        <w:tcBorders>
          <w:top w:val="single" w:color="FFA2A1" w:themeColor="accent5" w:sz="4" w:space="0"/>
          <w:bottom w:val="single" w:color="FFA2A1"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A2A1" w:themeColor="accent5" w:sz="4" w:space="0"/>
          <w:left w:val="nil"/>
        </w:tcBorders>
      </w:tcPr>
    </w:tblStylePr>
    <w:tblStylePr w:type="swCell">
      <w:tblPr/>
      <w:tcPr>
        <w:tcBorders>
          <w:top w:val="double" w:color="FFA2A1" w:themeColor="accent5" w:sz="4" w:space="0"/>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color="80B8BC" w:themeColor="accent6" w:sz="4" w:space="0"/>
        <w:left w:val="single" w:color="80B8BC" w:themeColor="accent6" w:sz="4" w:space="0"/>
        <w:bottom w:val="single" w:color="80B8BC" w:themeColor="accent6" w:sz="4" w:space="0"/>
        <w:right w:val="single" w:color="80B8BC" w:themeColor="accent6" w:sz="4" w:space="0"/>
      </w:tblBorders>
    </w:tblPr>
    <w:tblStylePr w:type="firstRow">
      <w:rPr>
        <w:b/>
        <w:bCs/>
        <w:color w:val="FFFFFF" w:themeColor="background1"/>
      </w:rPr>
      <w:tblPr/>
      <w:tcPr>
        <w:shd w:val="clear" w:color="auto" w:fill="80B8BC" w:themeFill="accent6"/>
      </w:tcPr>
    </w:tblStylePr>
    <w:tblStylePr w:type="lastRow">
      <w:rPr>
        <w:b/>
        <w:bCs/>
      </w:rPr>
      <w:tblPr/>
      <w:tcPr>
        <w:tcBorders>
          <w:top w:val="double" w:color="80B8BC"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B8BC" w:themeColor="accent6" w:sz="4" w:space="0"/>
          <w:right w:val="single" w:color="80B8BC" w:themeColor="accent6" w:sz="4" w:space="0"/>
        </w:tcBorders>
      </w:tcPr>
    </w:tblStylePr>
    <w:tblStylePr w:type="band1Horz">
      <w:tblPr/>
      <w:tcPr>
        <w:tcBorders>
          <w:top w:val="single" w:color="80B8BC" w:themeColor="accent6" w:sz="4" w:space="0"/>
          <w:bottom w:val="single" w:color="80B8BC"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B8BC" w:themeColor="accent6" w:sz="4" w:space="0"/>
          <w:left w:val="nil"/>
        </w:tcBorders>
      </w:tcPr>
    </w:tblStylePr>
    <w:tblStylePr w:type="swCell">
      <w:tblPr/>
      <w:tcPr>
        <w:tcBorders>
          <w:top w:val="double" w:color="80B8BC" w:themeColor="accent6" w:sz="4" w:space="0"/>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tblBorders>
    </w:tblPr>
    <w:tblStylePr w:type="firstRow">
      <w:rPr>
        <w:b/>
        <w:bCs/>
        <w:color w:val="FFFFFF" w:themeColor="background1"/>
      </w:rPr>
      <w:tblPr/>
      <w:tcPr>
        <w:tcBorders>
          <w:top w:val="single" w:color="4B0A28" w:themeColor="accent1" w:sz="4" w:space="0"/>
          <w:left w:val="single" w:color="4B0A28" w:themeColor="accent1" w:sz="4" w:space="0"/>
          <w:bottom w:val="single" w:color="4B0A28" w:themeColor="accent1" w:sz="4" w:space="0"/>
          <w:right w:val="single" w:color="4B0A28" w:themeColor="accent1" w:sz="4" w:space="0"/>
          <w:insideH w:val="nil"/>
        </w:tcBorders>
        <w:shd w:val="clear" w:color="auto" w:fill="4B0A28" w:themeFill="accent1"/>
      </w:tcPr>
    </w:tblStylePr>
    <w:tblStylePr w:type="lastRow">
      <w:rPr>
        <w:b/>
        <w:bCs/>
      </w:rPr>
      <w:tblPr/>
      <w:tcPr>
        <w:tcBorders>
          <w:top w:val="doub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tblBorders>
    </w:tblPr>
    <w:tblStylePr w:type="firstRow">
      <w:rPr>
        <w:b/>
        <w:bCs/>
        <w:color w:val="FFFFFF" w:themeColor="background1"/>
      </w:rPr>
      <w:tblPr/>
      <w:tcPr>
        <w:tcBorders>
          <w:top w:val="single" w:color="FF4543" w:themeColor="accent2" w:sz="4" w:space="0"/>
          <w:left w:val="single" w:color="FF4543" w:themeColor="accent2" w:sz="4" w:space="0"/>
          <w:bottom w:val="single" w:color="FF4543" w:themeColor="accent2" w:sz="4" w:space="0"/>
          <w:right w:val="single" w:color="FF4543" w:themeColor="accent2" w:sz="4" w:space="0"/>
          <w:insideH w:val="nil"/>
        </w:tcBorders>
        <w:shd w:val="clear" w:color="auto" w:fill="FF4543" w:themeFill="accent2"/>
      </w:tcPr>
    </w:tblStylePr>
    <w:tblStylePr w:type="lastRow">
      <w:rPr>
        <w:b/>
        <w:bCs/>
      </w:rPr>
      <w:tblPr/>
      <w:tcPr>
        <w:tcBorders>
          <w:top w:val="doub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tblBorders>
    </w:tblPr>
    <w:tblStylePr w:type="firstRow">
      <w:rPr>
        <w:b/>
        <w:bCs/>
        <w:color w:val="FFFFFF" w:themeColor="background1"/>
      </w:rPr>
      <w:tblPr/>
      <w:tcPr>
        <w:tcBorders>
          <w:top w:val="single" w:color="007078" w:themeColor="accent3" w:sz="4" w:space="0"/>
          <w:left w:val="single" w:color="007078" w:themeColor="accent3" w:sz="4" w:space="0"/>
          <w:bottom w:val="single" w:color="007078" w:themeColor="accent3" w:sz="4" w:space="0"/>
          <w:right w:val="single" w:color="007078" w:themeColor="accent3" w:sz="4" w:space="0"/>
          <w:insideH w:val="nil"/>
        </w:tcBorders>
        <w:shd w:val="clear" w:color="auto" w:fill="007078" w:themeFill="accent3"/>
      </w:tcPr>
    </w:tblStylePr>
    <w:tblStylePr w:type="lastRow">
      <w:rPr>
        <w:b/>
        <w:bCs/>
      </w:rPr>
      <w:tblPr/>
      <w:tcPr>
        <w:tcBorders>
          <w:top w:val="doub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tblBorders>
    </w:tblPr>
    <w:tblStylePr w:type="firstRow">
      <w:rPr>
        <w:b/>
        <w:bCs/>
        <w:color w:val="FFFFFF" w:themeColor="background1"/>
      </w:rPr>
      <w:tblPr/>
      <w:tcPr>
        <w:tcBorders>
          <w:top w:val="single" w:color="A58594" w:themeColor="accent4" w:sz="4" w:space="0"/>
          <w:left w:val="single" w:color="A58594" w:themeColor="accent4" w:sz="4" w:space="0"/>
          <w:bottom w:val="single" w:color="A58594" w:themeColor="accent4" w:sz="4" w:space="0"/>
          <w:right w:val="single" w:color="A58594" w:themeColor="accent4" w:sz="4" w:space="0"/>
          <w:insideH w:val="nil"/>
        </w:tcBorders>
        <w:shd w:val="clear" w:color="auto" w:fill="A58594" w:themeFill="accent4"/>
      </w:tcPr>
    </w:tblStylePr>
    <w:tblStylePr w:type="lastRow">
      <w:rPr>
        <w:b/>
        <w:bCs/>
      </w:rPr>
      <w:tblPr/>
      <w:tcPr>
        <w:tcBorders>
          <w:top w:val="doub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tblBorders>
    </w:tblPr>
    <w:tblStylePr w:type="firstRow">
      <w:rPr>
        <w:b/>
        <w:bCs/>
        <w:color w:val="FFFFFF" w:themeColor="background1"/>
      </w:rPr>
      <w:tblPr/>
      <w:tcPr>
        <w:tcBorders>
          <w:top w:val="single" w:color="FFA2A1" w:themeColor="accent5" w:sz="4" w:space="0"/>
          <w:left w:val="single" w:color="FFA2A1" w:themeColor="accent5" w:sz="4" w:space="0"/>
          <w:bottom w:val="single" w:color="FFA2A1" w:themeColor="accent5" w:sz="4" w:space="0"/>
          <w:right w:val="single" w:color="FFA2A1" w:themeColor="accent5" w:sz="4" w:space="0"/>
          <w:insideH w:val="nil"/>
        </w:tcBorders>
        <w:shd w:val="clear" w:color="auto" w:fill="FFA2A1" w:themeFill="accent5"/>
      </w:tcPr>
    </w:tblStylePr>
    <w:tblStylePr w:type="lastRow">
      <w:rPr>
        <w:b/>
        <w:bCs/>
      </w:rPr>
      <w:tblPr/>
      <w:tcPr>
        <w:tcBorders>
          <w:top w:val="doub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tblBorders>
    </w:tblPr>
    <w:tblStylePr w:type="firstRow">
      <w:rPr>
        <w:b/>
        <w:bCs/>
        <w:color w:val="FFFFFF" w:themeColor="background1"/>
      </w:rPr>
      <w:tblPr/>
      <w:tcPr>
        <w:tcBorders>
          <w:top w:val="single" w:color="80B8BC" w:themeColor="accent6" w:sz="4" w:space="0"/>
          <w:left w:val="single" w:color="80B8BC" w:themeColor="accent6" w:sz="4" w:space="0"/>
          <w:bottom w:val="single" w:color="80B8BC" w:themeColor="accent6" w:sz="4" w:space="0"/>
          <w:right w:val="single" w:color="80B8BC" w:themeColor="accent6" w:sz="4" w:space="0"/>
          <w:insideH w:val="nil"/>
        </w:tcBorders>
        <w:shd w:val="clear" w:color="auto" w:fill="80B8BC" w:themeFill="accent6"/>
      </w:tcPr>
    </w:tblStylePr>
    <w:tblStylePr w:type="lastRow">
      <w:rPr>
        <w:b/>
        <w:bCs/>
      </w:rPr>
      <w:tblPr/>
      <w:tcPr>
        <w:tcBorders>
          <w:top w:val="doub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color="4B0A28" w:themeColor="accent1" w:sz="24" w:space="0"/>
        <w:left w:val="single" w:color="4B0A28" w:themeColor="accent1" w:sz="24" w:space="0"/>
        <w:bottom w:val="single" w:color="4B0A28" w:themeColor="accent1" w:sz="24" w:space="0"/>
        <w:right w:val="single" w:color="4B0A28" w:themeColor="accent1" w:sz="24" w:space="0"/>
      </w:tblBorders>
    </w:tblPr>
    <w:tcPr>
      <w:shd w:val="clear" w:color="auto" w:fill="4B0A28"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color="FF4543" w:themeColor="accent2" w:sz="24" w:space="0"/>
        <w:left w:val="single" w:color="FF4543" w:themeColor="accent2" w:sz="24" w:space="0"/>
        <w:bottom w:val="single" w:color="FF4543" w:themeColor="accent2" w:sz="24" w:space="0"/>
        <w:right w:val="single" w:color="FF4543" w:themeColor="accent2" w:sz="24" w:space="0"/>
      </w:tblBorders>
    </w:tblPr>
    <w:tcPr>
      <w:shd w:val="clear" w:color="auto" w:fill="FF454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color="007078" w:themeColor="accent3" w:sz="24" w:space="0"/>
        <w:left w:val="single" w:color="007078" w:themeColor="accent3" w:sz="24" w:space="0"/>
        <w:bottom w:val="single" w:color="007078" w:themeColor="accent3" w:sz="24" w:space="0"/>
        <w:right w:val="single" w:color="007078" w:themeColor="accent3" w:sz="24" w:space="0"/>
      </w:tblBorders>
    </w:tblPr>
    <w:tcPr>
      <w:shd w:val="clear" w:color="auto" w:fill="007078"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color="A58594" w:themeColor="accent4" w:sz="24" w:space="0"/>
        <w:left w:val="single" w:color="A58594" w:themeColor="accent4" w:sz="24" w:space="0"/>
        <w:bottom w:val="single" w:color="A58594" w:themeColor="accent4" w:sz="24" w:space="0"/>
        <w:right w:val="single" w:color="A58594" w:themeColor="accent4" w:sz="24" w:space="0"/>
      </w:tblBorders>
    </w:tblPr>
    <w:tcPr>
      <w:shd w:val="clear" w:color="auto" w:fill="A58594"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color="FFA2A1" w:themeColor="accent5" w:sz="24" w:space="0"/>
        <w:left w:val="single" w:color="FFA2A1" w:themeColor="accent5" w:sz="24" w:space="0"/>
        <w:bottom w:val="single" w:color="FFA2A1" w:themeColor="accent5" w:sz="24" w:space="0"/>
        <w:right w:val="single" w:color="FFA2A1" w:themeColor="accent5" w:sz="24" w:space="0"/>
      </w:tblBorders>
    </w:tblPr>
    <w:tcPr>
      <w:shd w:val="clear" w:color="auto" w:fill="FFA2A1"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color="80B8BC" w:themeColor="accent6" w:sz="24" w:space="0"/>
        <w:left w:val="single" w:color="80B8BC" w:themeColor="accent6" w:sz="24" w:space="0"/>
        <w:bottom w:val="single" w:color="80B8BC" w:themeColor="accent6" w:sz="24" w:space="0"/>
        <w:right w:val="single" w:color="80B8BC" w:themeColor="accent6" w:sz="24" w:space="0"/>
      </w:tblBorders>
    </w:tblPr>
    <w:tcPr>
      <w:shd w:val="clear" w:color="auto" w:fill="80B8BC"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color="4B0A28" w:themeColor="accent1" w:sz="4" w:space="0"/>
        <w:bottom w:val="single" w:color="4B0A28" w:themeColor="accent1" w:sz="4" w:space="0"/>
      </w:tblBorders>
    </w:tblPr>
    <w:tblStylePr w:type="firstRow">
      <w:rPr>
        <w:b/>
        <w:bCs/>
      </w:rPr>
      <w:tblPr/>
      <w:tcPr>
        <w:tcBorders>
          <w:bottom w:val="single" w:color="4B0A28" w:themeColor="accent1" w:sz="4" w:space="0"/>
        </w:tcBorders>
      </w:tcPr>
    </w:tblStylePr>
    <w:tblStylePr w:type="lastRow">
      <w:rPr>
        <w:b/>
        <w:bCs/>
      </w:rPr>
      <w:tblPr/>
      <w:tcPr>
        <w:tcBorders>
          <w:top w:val="double" w:color="4B0A28" w:themeColor="accent1"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color="FF4543" w:themeColor="accent2" w:sz="4" w:space="0"/>
        <w:bottom w:val="single" w:color="FF4543" w:themeColor="accent2" w:sz="4" w:space="0"/>
      </w:tblBorders>
    </w:tblPr>
    <w:tblStylePr w:type="firstRow">
      <w:rPr>
        <w:b/>
        <w:bCs/>
      </w:rPr>
      <w:tblPr/>
      <w:tcPr>
        <w:tcBorders>
          <w:bottom w:val="single" w:color="FF4543" w:themeColor="accent2" w:sz="4" w:space="0"/>
        </w:tcBorders>
      </w:tcPr>
    </w:tblStylePr>
    <w:tblStylePr w:type="lastRow">
      <w:rPr>
        <w:b/>
        <w:bCs/>
      </w:rPr>
      <w:tblPr/>
      <w:tcPr>
        <w:tcBorders>
          <w:top w:val="double" w:color="FF4543" w:themeColor="accent2"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color="007078" w:themeColor="accent3" w:sz="4" w:space="0"/>
        <w:bottom w:val="single" w:color="007078" w:themeColor="accent3" w:sz="4" w:space="0"/>
      </w:tblBorders>
    </w:tblPr>
    <w:tblStylePr w:type="firstRow">
      <w:rPr>
        <w:b/>
        <w:bCs/>
      </w:rPr>
      <w:tblPr/>
      <w:tcPr>
        <w:tcBorders>
          <w:bottom w:val="single" w:color="007078" w:themeColor="accent3" w:sz="4" w:space="0"/>
        </w:tcBorders>
      </w:tcPr>
    </w:tblStylePr>
    <w:tblStylePr w:type="lastRow">
      <w:rPr>
        <w:b/>
        <w:bCs/>
      </w:rPr>
      <w:tblPr/>
      <w:tcPr>
        <w:tcBorders>
          <w:top w:val="double" w:color="007078" w:themeColor="accent3"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color="A58594" w:themeColor="accent4" w:sz="4" w:space="0"/>
        <w:bottom w:val="single" w:color="A58594" w:themeColor="accent4" w:sz="4" w:space="0"/>
      </w:tblBorders>
    </w:tblPr>
    <w:tblStylePr w:type="firstRow">
      <w:rPr>
        <w:b/>
        <w:bCs/>
      </w:rPr>
      <w:tblPr/>
      <w:tcPr>
        <w:tcBorders>
          <w:bottom w:val="single" w:color="A58594" w:themeColor="accent4" w:sz="4" w:space="0"/>
        </w:tcBorders>
      </w:tcPr>
    </w:tblStylePr>
    <w:tblStylePr w:type="lastRow">
      <w:rPr>
        <w:b/>
        <w:bCs/>
      </w:rPr>
      <w:tblPr/>
      <w:tcPr>
        <w:tcBorders>
          <w:top w:val="double" w:color="A58594" w:themeColor="accent4"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color="FFA2A1" w:themeColor="accent5" w:sz="4" w:space="0"/>
        <w:bottom w:val="single" w:color="FFA2A1" w:themeColor="accent5" w:sz="4" w:space="0"/>
      </w:tblBorders>
    </w:tblPr>
    <w:tblStylePr w:type="firstRow">
      <w:rPr>
        <w:b/>
        <w:bCs/>
      </w:rPr>
      <w:tblPr/>
      <w:tcPr>
        <w:tcBorders>
          <w:bottom w:val="single" w:color="FFA2A1" w:themeColor="accent5" w:sz="4" w:space="0"/>
        </w:tcBorders>
      </w:tcPr>
    </w:tblStylePr>
    <w:tblStylePr w:type="lastRow">
      <w:rPr>
        <w:b/>
        <w:bCs/>
      </w:rPr>
      <w:tblPr/>
      <w:tcPr>
        <w:tcBorders>
          <w:top w:val="double" w:color="FFA2A1" w:themeColor="accent5"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color="80B8BC" w:themeColor="accent6" w:sz="4" w:space="0"/>
        <w:bottom w:val="single" w:color="80B8BC" w:themeColor="accent6" w:sz="4" w:space="0"/>
      </w:tblBorders>
    </w:tblPr>
    <w:tblStylePr w:type="firstRow">
      <w:rPr>
        <w:b/>
        <w:bCs/>
      </w:rPr>
      <w:tblPr/>
      <w:tcPr>
        <w:tcBorders>
          <w:bottom w:val="single" w:color="80B8BC" w:themeColor="accent6" w:sz="4" w:space="0"/>
        </w:tcBorders>
      </w:tcPr>
    </w:tblStylePr>
    <w:tblStylePr w:type="lastRow">
      <w:rPr>
        <w:b/>
        <w:bCs/>
      </w:rPr>
      <w:tblPr/>
      <w:tcPr>
        <w:tcBorders>
          <w:top w:val="double" w:color="80B8BC" w:themeColor="accent6"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B0A28"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B0A28"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B0A28"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B0A28" w:themeColor="accent1" w:sz="4" w:space="0"/>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4543"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454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4543"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4543" w:themeColor="accent2" w:sz="4" w:space="0"/>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7078"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7078"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7078"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7078" w:themeColor="accent3" w:sz="4" w:space="0"/>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8594"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8594"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8594"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8594" w:themeColor="accent4" w:sz="4" w:space="0"/>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A2A1"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A2A1"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A2A1"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A2A1" w:themeColor="accent5" w:sz="4" w:space="0"/>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B8BC"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B8BC"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B8BC"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B8BC" w:themeColor="accent6" w:sz="4" w:space="0"/>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single" w:color="A91659" w:themeColor="accent1" w:themeTint="BF" w:sz="8" w:space="0"/>
        <w:insideV w:val="single" w:color="A91659" w:themeColor="accent1" w:themeTint="BF" w:sz="8" w:space="0"/>
      </w:tblBorders>
    </w:tblPr>
    <w:tcPr>
      <w:shd w:val="clear" w:color="auto" w:fill="F2A2C7" w:themeFill="accent1" w:themeFillTint="3F"/>
    </w:tcPr>
    <w:tblStylePr w:type="firstRow">
      <w:rPr>
        <w:b/>
        <w:bCs/>
      </w:rPr>
    </w:tblStylePr>
    <w:tblStylePr w:type="lastRow">
      <w:rPr>
        <w:b/>
        <w:bCs/>
      </w:rPr>
      <w:tblPr/>
      <w:tcPr>
        <w:tcBorders>
          <w:top w:val="single" w:color="A91659" w:themeColor="accent1" w:themeTint="BF" w:sz="18" w:space="0"/>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single" w:color="FF7372" w:themeColor="accent2" w:themeTint="BF" w:sz="8" w:space="0"/>
        <w:insideV w:val="single" w:color="FF7372" w:themeColor="accent2" w:themeTint="BF" w:sz="8" w:space="0"/>
      </w:tblBorders>
    </w:tblPr>
    <w:tcPr>
      <w:shd w:val="clear" w:color="auto" w:fill="FFD0D0" w:themeFill="accent2" w:themeFillTint="3F"/>
    </w:tcPr>
    <w:tblStylePr w:type="firstRow">
      <w:rPr>
        <w:b/>
        <w:bCs/>
      </w:rPr>
    </w:tblStylePr>
    <w:tblStylePr w:type="lastRow">
      <w:rPr>
        <w:b/>
        <w:bCs/>
      </w:rPr>
      <w:tblPr/>
      <w:tcPr>
        <w:tcBorders>
          <w:top w:val="single" w:color="FF7372" w:themeColor="accent2" w:themeTint="BF" w:sz="18" w:space="0"/>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single" w:color="00CBD9" w:themeColor="accent3" w:themeTint="BF" w:sz="8" w:space="0"/>
        <w:insideV w:val="single" w:color="00CBD9" w:themeColor="accent3" w:themeTint="BF" w:sz="8" w:space="0"/>
      </w:tblBorders>
    </w:tblPr>
    <w:tcPr>
      <w:shd w:val="clear" w:color="auto" w:fill="9EF8FF" w:themeFill="accent3" w:themeFillTint="3F"/>
    </w:tcPr>
    <w:tblStylePr w:type="firstRow">
      <w:rPr>
        <w:b/>
        <w:bCs/>
      </w:rPr>
    </w:tblStylePr>
    <w:tblStylePr w:type="lastRow">
      <w:rPr>
        <w:b/>
        <w:bCs/>
      </w:rPr>
      <w:tblPr/>
      <w:tcPr>
        <w:tcBorders>
          <w:top w:val="single" w:color="00CBD9" w:themeColor="accent3" w:themeTint="BF" w:sz="18" w:space="0"/>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single" w:color="BBA3AE" w:themeColor="accent4" w:themeTint="BF" w:sz="8" w:space="0"/>
        <w:insideV w:val="single" w:color="BBA3AE" w:themeColor="accent4" w:themeTint="BF" w:sz="8" w:space="0"/>
      </w:tblBorders>
    </w:tblPr>
    <w:tcPr>
      <w:shd w:val="clear" w:color="auto" w:fill="E8E0E4" w:themeFill="accent4" w:themeFillTint="3F"/>
    </w:tcPr>
    <w:tblStylePr w:type="firstRow">
      <w:rPr>
        <w:b/>
        <w:bCs/>
      </w:rPr>
    </w:tblStylePr>
    <w:tblStylePr w:type="lastRow">
      <w:rPr>
        <w:b/>
        <w:bCs/>
      </w:rPr>
      <w:tblPr/>
      <w:tcPr>
        <w:tcBorders>
          <w:top w:val="single" w:color="BBA3AE" w:themeColor="accent4" w:themeTint="BF" w:sz="18" w:space="0"/>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single" w:color="FFB8B8" w:themeColor="accent5" w:themeTint="BF" w:sz="8" w:space="0"/>
        <w:insideV w:val="single" w:color="FFB8B8" w:themeColor="accent5" w:themeTint="BF" w:sz="8" w:space="0"/>
      </w:tblBorders>
    </w:tblPr>
    <w:tcPr>
      <w:shd w:val="clear" w:color="auto" w:fill="FFE7E7" w:themeFill="accent5" w:themeFillTint="3F"/>
    </w:tcPr>
    <w:tblStylePr w:type="firstRow">
      <w:rPr>
        <w:b/>
        <w:bCs/>
      </w:rPr>
    </w:tblStylePr>
    <w:tblStylePr w:type="lastRow">
      <w:rPr>
        <w:b/>
        <w:bCs/>
      </w:rPr>
      <w:tblPr/>
      <w:tcPr>
        <w:tcBorders>
          <w:top w:val="single" w:color="FFB8B8" w:themeColor="accent5" w:themeTint="BF" w:sz="18" w:space="0"/>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single" w:color="9FC9CC" w:themeColor="accent6" w:themeTint="BF" w:sz="8" w:space="0"/>
        <w:insideV w:val="single" w:color="9FC9CC" w:themeColor="accent6" w:themeTint="BF" w:sz="8" w:space="0"/>
      </w:tblBorders>
    </w:tblPr>
    <w:tcPr>
      <w:shd w:val="clear" w:color="auto" w:fill="DFEDEE" w:themeFill="accent6" w:themeFillTint="3F"/>
    </w:tcPr>
    <w:tblStylePr w:type="firstRow">
      <w:rPr>
        <w:b/>
        <w:bCs/>
      </w:rPr>
    </w:tblStylePr>
    <w:tblStylePr w:type="lastRow">
      <w:rPr>
        <w:b/>
        <w:bCs/>
      </w:rPr>
      <w:tblPr/>
      <w:tcPr>
        <w:tcBorders>
          <w:top w:val="single" w:color="9FC9CC" w:themeColor="accent6" w:themeTint="BF" w:sz="18" w:space="0"/>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insideH w:val="single" w:color="4B0A28" w:themeColor="accent1" w:sz="8" w:space="0"/>
        <w:insideV w:val="single" w:color="4B0A28" w:themeColor="accent1" w:sz="8" w:space="0"/>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color="4B0A28" w:themeColor="accent1" w:sz="6" w:space="0"/>
          <w:insideV w:val="single" w:color="4B0A28" w:themeColor="accent1" w:sz="6" w:space="0"/>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insideH w:val="single" w:color="FF4543" w:themeColor="accent2" w:sz="8" w:space="0"/>
        <w:insideV w:val="single" w:color="FF4543" w:themeColor="accent2" w:sz="8" w:space="0"/>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color="FF4543" w:themeColor="accent2" w:sz="6" w:space="0"/>
          <w:insideV w:val="single" w:color="FF4543" w:themeColor="accent2" w:sz="6" w:space="0"/>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insideH w:val="single" w:color="007078" w:themeColor="accent3" w:sz="8" w:space="0"/>
        <w:insideV w:val="single" w:color="007078" w:themeColor="accent3" w:sz="8" w:space="0"/>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color="007078" w:themeColor="accent3" w:sz="6" w:space="0"/>
          <w:insideV w:val="single" w:color="007078" w:themeColor="accent3" w:sz="6" w:space="0"/>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insideH w:val="single" w:color="A58594" w:themeColor="accent4" w:sz="8" w:space="0"/>
        <w:insideV w:val="single" w:color="A58594" w:themeColor="accent4" w:sz="8" w:space="0"/>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color="A58594" w:themeColor="accent4" w:sz="6" w:space="0"/>
          <w:insideV w:val="single" w:color="A58594" w:themeColor="accent4" w:sz="6" w:space="0"/>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insideH w:val="single" w:color="FFA2A1" w:themeColor="accent5" w:sz="8" w:space="0"/>
        <w:insideV w:val="single" w:color="FFA2A1" w:themeColor="accent5" w:sz="8" w:space="0"/>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color="FFA2A1" w:themeColor="accent5" w:sz="6" w:space="0"/>
          <w:insideV w:val="single" w:color="FFA2A1" w:themeColor="accent5" w:sz="6" w:space="0"/>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insideH w:val="single" w:color="80B8BC" w:themeColor="accent6" w:sz="8" w:space="0"/>
        <w:insideV w:val="single" w:color="80B8BC" w:themeColor="accent6" w:sz="8" w:space="0"/>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color="80B8BC" w:themeColor="accent6" w:sz="6" w:space="0"/>
          <w:insideV w:val="single" w:color="80B8BC" w:themeColor="accent6" w:sz="6" w:space="0"/>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2A2C7"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0A28"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0A28"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0A28"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0A28"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6448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D0D0"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4543"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4543"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4543"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454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A2A1"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EF8F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7078"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7078"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7078"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7078"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CF2F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0E4"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8594"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8594"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8594"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8594"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C2C9"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7E7"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A2A1"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A2A1"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A2A1"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A2A1"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0D0"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EDEE"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B8BC"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B8BC"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B8BC"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B8BC"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DBD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color="4B0A28" w:themeColor="accent1" w:sz="8" w:space="0"/>
        <w:bottom w:val="single" w:color="4B0A28" w:themeColor="accent1" w:sz="8" w:space="0"/>
      </w:tblBorders>
    </w:tblPr>
    <w:tblStylePr w:type="firstRow">
      <w:rPr>
        <w:rFonts w:asciiTheme="majorHAnsi" w:hAnsiTheme="majorHAnsi" w:eastAsiaTheme="majorEastAsia" w:cstheme="majorBidi"/>
      </w:rPr>
      <w:tblPr/>
      <w:tcPr>
        <w:tcBorders>
          <w:top w:val="nil"/>
          <w:bottom w:val="single" w:color="4B0A28" w:themeColor="accent1" w:sz="8" w:space="0"/>
        </w:tcBorders>
      </w:tcPr>
    </w:tblStylePr>
    <w:tblStylePr w:type="lastRow">
      <w:rPr>
        <w:b/>
        <w:bCs/>
        <w:color w:val="000000" w:themeColor="text2"/>
      </w:rPr>
      <w:tblPr/>
      <w:tcPr>
        <w:tcBorders>
          <w:top w:val="single" w:color="4B0A28" w:themeColor="accent1" w:sz="8" w:space="0"/>
          <w:bottom w:val="single" w:color="4B0A28" w:themeColor="accent1" w:sz="8" w:space="0"/>
        </w:tcBorders>
      </w:tcPr>
    </w:tblStylePr>
    <w:tblStylePr w:type="firstCol">
      <w:rPr>
        <w:b/>
        <w:bCs/>
      </w:rPr>
    </w:tblStylePr>
    <w:tblStylePr w:type="lastCol">
      <w:rPr>
        <w:b/>
        <w:bCs/>
      </w:rPr>
      <w:tblPr/>
      <w:tcPr>
        <w:tcBorders>
          <w:top w:val="single" w:color="4B0A28" w:themeColor="accent1" w:sz="8" w:space="0"/>
          <w:bottom w:val="single" w:color="4B0A28" w:themeColor="accent1" w:sz="8" w:space="0"/>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FF4543" w:themeColor="accent2" w:sz="8" w:space="0"/>
        <w:bottom w:val="single" w:color="FF4543" w:themeColor="accent2" w:sz="8" w:space="0"/>
      </w:tblBorders>
    </w:tblPr>
    <w:tblStylePr w:type="firstRow">
      <w:rPr>
        <w:rFonts w:asciiTheme="majorHAnsi" w:hAnsiTheme="majorHAnsi" w:eastAsiaTheme="majorEastAsia" w:cstheme="majorBidi"/>
      </w:rPr>
      <w:tblPr/>
      <w:tcPr>
        <w:tcBorders>
          <w:top w:val="nil"/>
          <w:bottom w:val="single" w:color="FF4543" w:themeColor="accent2" w:sz="8" w:space="0"/>
        </w:tcBorders>
      </w:tcPr>
    </w:tblStylePr>
    <w:tblStylePr w:type="lastRow">
      <w:rPr>
        <w:b/>
        <w:bCs/>
        <w:color w:val="000000" w:themeColor="text2"/>
      </w:rPr>
      <w:tblPr/>
      <w:tcPr>
        <w:tcBorders>
          <w:top w:val="single" w:color="FF4543" w:themeColor="accent2" w:sz="8" w:space="0"/>
          <w:bottom w:val="single" w:color="FF4543" w:themeColor="accent2" w:sz="8" w:space="0"/>
        </w:tcBorders>
      </w:tcPr>
    </w:tblStylePr>
    <w:tblStylePr w:type="firstCol">
      <w:rPr>
        <w:b/>
        <w:bCs/>
      </w:rPr>
    </w:tblStylePr>
    <w:tblStylePr w:type="lastCol">
      <w:rPr>
        <w:b/>
        <w:bCs/>
      </w:rPr>
      <w:tblPr/>
      <w:tcPr>
        <w:tcBorders>
          <w:top w:val="single" w:color="FF4543" w:themeColor="accent2" w:sz="8" w:space="0"/>
          <w:bottom w:val="single" w:color="FF4543" w:themeColor="accent2" w:sz="8" w:space="0"/>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007078" w:themeColor="accent3" w:sz="8" w:space="0"/>
        <w:bottom w:val="single" w:color="007078" w:themeColor="accent3" w:sz="8" w:space="0"/>
      </w:tblBorders>
    </w:tblPr>
    <w:tblStylePr w:type="firstRow">
      <w:rPr>
        <w:rFonts w:asciiTheme="majorHAnsi" w:hAnsiTheme="majorHAnsi" w:eastAsiaTheme="majorEastAsia" w:cstheme="majorBidi"/>
      </w:rPr>
      <w:tblPr/>
      <w:tcPr>
        <w:tcBorders>
          <w:top w:val="nil"/>
          <w:bottom w:val="single" w:color="007078" w:themeColor="accent3" w:sz="8" w:space="0"/>
        </w:tcBorders>
      </w:tcPr>
    </w:tblStylePr>
    <w:tblStylePr w:type="lastRow">
      <w:rPr>
        <w:b/>
        <w:bCs/>
        <w:color w:val="000000" w:themeColor="text2"/>
      </w:rPr>
      <w:tblPr/>
      <w:tcPr>
        <w:tcBorders>
          <w:top w:val="single" w:color="007078" w:themeColor="accent3" w:sz="8" w:space="0"/>
          <w:bottom w:val="single" w:color="007078" w:themeColor="accent3" w:sz="8" w:space="0"/>
        </w:tcBorders>
      </w:tcPr>
    </w:tblStylePr>
    <w:tblStylePr w:type="firstCol">
      <w:rPr>
        <w:b/>
        <w:bCs/>
      </w:rPr>
    </w:tblStylePr>
    <w:tblStylePr w:type="lastCol">
      <w:rPr>
        <w:b/>
        <w:bCs/>
      </w:rPr>
      <w:tblPr/>
      <w:tcPr>
        <w:tcBorders>
          <w:top w:val="single" w:color="007078" w:themeColor="accent3" w:sz="8" w:space="0"/>
          <w:bottom w:val="single" w:color="007078" w:themeColor="accent3" w:sz="8" w:space="0"/>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A58594" w:themeColor="accent4" w:sz="8" w:space="0"/>
        <w:bottom w:val="single" w:color="A58594" w:themeColor="accent4" w:sz="8" w:space="0"/>
      </w:tblBorders>
    </w:tblPr>
    <w:tblStylePr w:type="firstRow">
      <w:rPr>
        <w:rFonts w:asciiTheme="majorHAnsi" w:hAnsiTheme="majorHAnsi" w:eastAsiaTheme="majorEastAsia" w:cstheme="majorBidi"/>
      </w:rPr>
      <w:tblPr/>
      <w:tcPr>
        <w:tcBorders>
          <w:top w:val="nil"/>
          <w:bottom w:val="single" w:color="A58594" w:themeColor="accent4" w:sz="8" w:space="0"/>
        </w:tcBorders>
      </w:tcPr>
    </w:tblStylePr>
    <w:tblStylePr w:type="lastRow">
      <w:rPr>
        <w:b/>
        <w:bCs/>
        <w:color w:val="000000" w:themeColor="text2"/>
      </w:rPr>
      <w:tblPr/>
      <w:tcPr>
        <w:tcBorders>
          <w:top w:val="single" w:color="A58594" w:themeColor="accent4" w:sz="8" w:space="0"/>
          <w:bottom w:val="single" w:color="A58594" w:themeColor="accent4" w:sz="8" w:space="0"/>
        </w:tcBorders>
      </w:tcPr>
    </w:tblStylePr>
    <w:tblStylePr w:type="firstCol">
      <w:rPr>
        <w:b/>
        <w:bCs/>
      </w:rPr>
    </w:tblStylePr>
    <w:tblStylePr w:type="lastCol">
      <w:rPr>
        <w:b/>
        <w:bCs/>
      </w:rPr>
      <w:tblPr/>
      <w:tcPr>
        <w:tcBorders>
          <w:top w:val="single" w:color="A58594" w:themeColor="accent4" w:sz="8" w:space="0"/>
          <w:bottom w:val="single" w:color="A58594" w:themeColor="accent4" w:sz="8" w:space="0"/>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FFA2A1" w:themeColor="accent5" w:sz="8" w:space="0"/>
        <w:bottom w:val="single" w:color="FFA2A1" w:themeColor="accent5" w:sz="8" w:space="0"/>
      </w:tblBorders>
    </w:tblPr>
    <w:tblStylePr w:type="firstRow">
      <w:rPr>
        <w:rFonts w:asciiTheme="majorHAnsi" w:hAnsiTheme="majorHAnsi" w:eastAsiaTheme="majorEastAsia" w:cstheme="majorBidi"/>
      </w:rPr>
      <w:tblPr/>
      <w:tcPr>
        <w:tcBorders>
          <w:top w:val="nil"/>
          <w:bottom w:val="single" w:color="FFA2A1" w:themeColor="accent5" w:sz="8" w:space="0"/>
        </w:tcBorders>
      </w:tcPr>
    </w:tblStylePr>
    <w:tblStylePr w:type="lastRow">
      <w:rPr>
        <w:b/>
        <w:bCs/>
        <w:color w:val="000000" w:themeColor="text2"/>
      </w:rPr>
      <w:tblPr/>
      <w:tcPr>
        <w:tcBorders>
          <w:top w:val="single" w:color="FFA2A1" w:themeColor="accent5" w:sz="8" w:space="0"/>
          <w:bottom w:val="single" w:color="FFA2A1" w:themeColor="accent5" w:sz="8" w:space="0"/>
        </w:tcBorders>
      </w:tcPr>
    </w:tblStylePr>
    <w:tblStylePr w:type="firstCol">
      <w:rPr>
        <w:b/>
        <w:bCs/>
      </w:rPr>
    </w:tblStylePr>
    <w:tblStylePr w:type="lastCol">
      <w:rPr>
        <w:b/>
        <w:bCs/>
      </w:rPr>
      <w:tblPr/>
      <w:tcPr>
        <w:tcBorders>
          <w:top w:val="single" w:color="FFA2A1" w:themeColor="accent5" w:sz="8" w:space="0"/>
          <w:bottom w:val="single" w:color="FFA2A1" w:themeColor="accent5" w:sz="8" w:space="0"/>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80B8BC" w:themeColor="accent6" w:sz="8" w:space="0"/>
        <w:bottom w:val="single" w:color="80B8BC" w:themeColor="accent6" w:sz="8" w:space="0"/>
      </w:tblBorders>
    </w:tblPr>
    <w:tblStylePr w:type="firstRow">
      <w:rPr>
        <w:rFonts w:asciiTheme="majorHAnsi" w:hAnsiTheme="majorHAnsi" w:eastAsiaTheme="majorEastAsia" w:cstheme="majorBidi"/>
      </w:rPr>
      <w:tblPr/>
      <w:tcPr>
        <w:tcBorders>
          <w:top w:val="nil"/>
          <w:bottom w:val="single" w:color="80B8BC" w:themeColor="accent6" w:sz="8" w:space="0"/>
        </w:tcBorders>
      </w:tcPr>
    </w:tblStylePr>
    <w:tblStylePr w:type="lastRow">
      <w:rPr>
        <w:b/>
        <w:bCs/>
        <w:color w:val="000000" w:themeColor="text2"/>
      </w:rPr>
      <w:tblPr/>
      <w:tcPr>
        <w:tcBorders>
          <w:top w:val="single" w:color="80B8BC" w:themeColor="accent6" w:sz="8" w:space="0"/>
          <w:bottom w:val="single" w:color="80B8BC" w:themeColor="accent6" w:sz="8" w:space="0"/>
        </w:tcBorders>
      </w:tcPr>
    </w:tblStylePr>
    <w:tblStylePr w:type="firstCol">
      <w:rPr>
        <w:b/>
        <w:bCs/>
      </w:rPr>
    </w:tblStylePr>
    <w:tblStylePr w:type="lastCol">
      <w:rPr>
        <w:b/>
        <w:bCs/>
      </w:rPr>
      <w:tblPr/>
      <w:tcPr>
        <w:tcBorders>
          <w:top w:val="single" w:color="80B8BC" w:themeColor="accent6" w:sz="8" w:space="0"/>
          <w:bottom w:val="single" w:color="80B8BC" w:themeColor="accent6" w:sz="8" w:space="0"/>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tblBorders>
    </w:tblPr>
    <w:tblStylePr w:type="firstRow">
      <w:rPr>
        <w:sz w:val="24"/>
        <w:szCs w:val="24"/>
      </w:rPr>
      <w:tblPr/>
      <w:tcPr>
        <w:tcBorders>
          <w:top w:val="nil"/>
          <w:left w:val="nil"/>
          <w:bottom w:val="single" w:color="4B0A28"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0A28" w:themeColor="accent1" w:sz="8" w:space="0"/>
          <w:insideH w:val="nil"/>
          <w:insideV w:val="nil"/>
        </w:tcBorders>
        <w:shd w:val="clear" w:color="auto" w:fill="FFFFFF" w:themeFill="background1"/>
      </w:tcPr>
    </w:tblStylePr>
    <w:tblStylePr w:type="lastCol">
      <w:tblPr/>
      <w:tcPr>
        <w:tcBorders>
          <w:top w:val="nil"/>
          <w:left w:val="single" w:color="4B0A28"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tblBorders>
    </w:tblPr>
    <w:tblStylePr w:type="firstRow">
      <w:rPr>
        <w:sz w:val="24"/>
        <w:szCs w:val="24"/>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4543" w:themeColor="accent2" w:sz="8" w:space="0"/>
          <w:insideH w:val="nil"/>
          <w:insideV w:val="nil"/>
        </w:tcBorders>
        <w:shd w:val="clear" w:color="auto" w:fill="FFFFFF" w:themeFill="background1"/>
      </w:tcPr>
    </w:tblStylePr>
    <w:tblStylePr w:type="lastCol">
      <w:tblPr/>
      <w:tcPr>
        <w:tcBorders>
          <w:top w:val="nil"/>
          <w:left w:val="single" w:color="FF454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tblBorders>
    </w:tblPr>
    <w:tblStylePr w:type="firstRow">
      <w:rPr>
        <w:sz w:val="24"/>
        <w:szCs w:val="24"/>
      </w:rPr>
      <w:tblPr/>
      <w:tcPr>
        <w:tcBorders>
          <w:top w:val="nil"/>
          <w:left w:val="nil"/>
          <w:bottom w:val="single" w:color="007078"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7078" w:themeColor="accent3" w:sz="8" w:space="0"/>
          <w:insideH w:val="nil"/>
          <w:insideV w:val="nil"/>
        </w:tcBorders>
        <w:shd w:val="clear" w:color="auto" w:fill="FFFFFF" w:themeFill="background1"/>
      </w:tcPr>
    </w:tblStylePr>
    <w:tblStylePr w:type="lastCol">
      <w:tblPr/>
      <w:tcPr>
        <w:tcBorders>
          <w:top w:val="nil"/>
          <w:left w:val="single" w:color="007078"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tblBorders>
    </w:tblPr>
    <w:tblStylePr w:type="firstRow">
      <w:rPr>
        <w:sz w:val="24"/>
        <w:szCs w:val="24"/>
      </w:rPr>
      <w:tblPr/>
      <w:tcPr>
        <w:tcBorders>
          <w:top w:val="nil"/>
          <w:left w:val="nil"/>
          <w:bottom w:val="single" w:color="A58594"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8594" w:themeColor="accent4" w:sz="8" w:space="0"/>
          <w:insideH w:val="nil"/>
          <w:insideV w:val="nil"/>
        </w:tcBorders>
        <w:shd w:val="clear" w:color="auto" w:fill="FFFFFF" w:themeFill="background1"/>
      </w:tcPr>
    </w:tblStylePr>
    <w:tblStylePr w:type="lastCol">
      <w:tblPr/>
      <w:tcPr>
        <w:tcBorders>
          <w:top w:val="nil"/>
          <w:left w:val="single" w:color="A58594"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tblBorders>
    </w:tblPr>
    <w:tblStylePr w:type="firstRow">
      <w:rPr>
        <w:sz w:val="24"/>
        <w:szCs w:val="24"/>
      </w:rPr>
      <w:tblPr/>
      <w:tcPr>
        <w:tcBorders>
          <w:top w:val="nil"/>
          <w:left w:val="nil"/>
          <w:bottom w:val="single" w:color="FFA2A1"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A2A1" w:themeColor="accent5" w:sz="8" w:space="0"/>
          <w:insideH w:val="nil"/>
          <w:insideV w:val="nil"/>
        </w:tcBorders>
        <w:shd w:val="clear" w:color="auto" w:fill="FFFFFF" w:themeFill="background1"/>
      </w:tcPr>
    </w:tblStylePr>
    <w:tblStylePr w:type="lastCol">
      <w:tblPr/>
      <w:tcPr>
        <w:tcBorders>
          <w:top w:val="nil"/>
          <w:left w:val="single" w:color="FFA2A1"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tblBorders>
    </w:tblPr>
    <w:tblStylePr w:type="firstRow">
      <w:rPr>
        <w:sz w:val="24"/>
        <w:szCs w:val="24"/>
      </w:rPr>
      <w:tblPr/>
      <w:tcPr>
        <w:tcBorders>
          <w:top w:val="nil"/>
          <w:left w:val="nil"/>
          <w:bottom w:val="single" w:color="80B8BC"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B8BC" w:themeColor="accent6" w:sz="8" w:space="0"/>
          <w:insideH w:val="nil"/>
          <w:insideV w:val="nil"/>
        </w:tcBorders>
        <w:shd w:val="clear" w:color="auto" w:fill="FFFFFF" w:themeFill="background1"/>
      </w:tcPr>
    </w:tblStylePr>
    <w:tblStylePr w:type="lastCol">
      <w:tblPr/>
      <w:tcPr>
        <w:tcBorders>
          <w:top w:val="nil"/>
          <w:left w:val="single" w:color="80B8BC"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single" w:color="A91659" w:themeColor="accent1" w:themeTint="BF" w:sz="8" w:space="0"/>
      </w:tblBorders>
    </w:tblPr>
    <w:tblStylePr w:type="firstRow">
      <w:pPr>
        <w:spacing w:before="0" w:after="0" w:line="240" w:lineRule="auto"/>
      </w:pPr>
      <w:rPr>
        <w:b/>
        <w:bCs/>
        <w:color w:val="FFFFFF" w:themeColor="background1"/>
      </w:rPr>
      <w:tblPr/>
      <w:tcPr>
        <w:tc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nil"/>
          <w:insideV w:val="nil"/>
        </w:tcBorders>
        <w:shd w:val="clear" w:color="auto" w:fill="4B0A28" w:themeFill="accent1"/>
      </w:tcPr>
    </w:tblStylePr>
    <w:tblStylePr w:type="lastRow">
      <w:pPr>
        <w:spacing w:before="0" w:after="0" w:line="240" w:lineRule="auto"/>
      </w:pPr>
      <w:rPr>
        <w:b/>
        <w:bCs/>
      </w:rPr>
      <w:tblPr/>
      <w:tcPr>
        <w:tcBorders>
          <w:top w:val="double" w:color="A91659" w:themeColor="accent1" w:themeTint="BF" w:sz="6" w:space="0"/>
          <w:left w:val="single" w:color="A91659" w:themeColor="accent1" w:themeTint="BF" w:sz="8" w:space="0"/>
          <w:bottom w:val="single" w:color="A91659" w:themeColor="accent1" w:themeTint="BF" w:sz="8" w:space="0"/>
          <w:right w:val="single" w:color="A91659"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single" w:color="FF7372" w:themeColor="accent2" w:themeTint="BF" w:sz="8" w:space="0"/>
      </w:tblBorders>
    </w:tblPr>
    <w:tblStylePr w:type="firstRow">
      <w:pPr>
        <w:spacing w:before="0" w:after="0" w:line="240" w:lineRule="auto"/>
      </w:pPr>
      <w:rPr>
        <w:b/>
        <w:bCs/>
        <w:color w:val="FFFFFF" w:themeColor="background1"/>
      </w:rPr>
      <w:tblPr/>
      <w:tcPr>
        <w:tc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nil"/>
          <w:insideV w:val="nil"/>
        </w:tcBorders>
        <w:shd w:val="clear" w:color="auto" w:fill="FF4543" w:themeFill="accent2"/>
      </w:tcPr>
    </w:tblStylePr>
    <w:tblStylePr w:type="lastRow">
      <w:pPr>
        <w:spacing w:before="0" w:after="0" w:line="240" w:lineRule="auto"/>
      </w:pPr>
      <w:rPr>
        <w:b/>
        <w:bCs/>
      </w:rPr>
      <w:tblPr/>
      <w:tcPr>
        <w:tcBorders>
          <w:top w:val="double" w:color="FF7372" w:themeColor="accent2" w:themeTint="BF" w:sz="6" w:space="0"/>
          <w:left w:val="single" w:color="FF7372" w:themeColor="accent2" w:themeTint="BF" w:sz="8" w:space="0"/>
          <w:bottom w:val="single" w:color="FF7372" w:themeColor="accent2" w:themeTint="BF" w:sz="8" w:space="0"/>
          <w:right w:val="single" w:color="FF7372"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single" w:color="00CBD9" w:themeColor="accent3" w:themeTint="BF" w:sz="8" w:space="0"/>
      </w:tblBorders>
    </w:tblPr>
    <w:tblStylePr w:type="firstRow">
      <w:pPr>
        <w:spacing w:before="0" w:after="0" w:line="240" w:lineRule="auto"/>
      </w:pPr>
      <w:rPr>
        <w:b/>
        <w:bCs/>
        <w:color w:val="FFFFFF" w:themeColor="background1"/>
      </w:rPr>
      <w:tblPr/>
      <w:tcPr>
        <w:tc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nil"/>
          <w:insideV w:val="nil"/>
        </w:tcBorders>
        <w:shd w:val="clear" w:color="auto" w:fill="007078" w:themeFill="accent3"/>
      </w:tcPr>
    </w:tblStylePr>
    <w:tblStylePr w:type="lastRow">
      <w:pPr>
        <w:spacing w:before="0" w:after="0" w:line="240" w:lineRule="auto"/>
      </w:pPr>
      <w:rPr>
        <w:b/>
        <w:bCs/>
      </w:rPr>
      <w:tblPr/>
      <w:tcPr>
        <w:tcBorders>
          <w:top w:val="double" w:color="00CBD9" w:themeColor="accent3" w:themeTint="BF" w:sz="6" w:space="0"/>
          <w:left w:val="single" w:color="00CBD9" w:themeColor="accent3" w:themeTint="BF" w:sz="8" w:space="0"/>
          <w:bottom w:val="single" w:color="00CBD9" w:themeColor="accent3" w:themeTint="BF" w:sz="8" w:space="0"/>
          <w:right w:val="single" w:color="00CBD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single" w:color="BBA3AE" w:themeColor="accent4" w:themeTint="BF" w:sz="8" w:space="0"/>
      </w:tblBorders>
    </w:tblPr>
    <w:tblStylePr w:type="firstRow">
      <w:pPr>
        <w:spacing w:before="0" w:after="0" w:line="240" w:lineRule="auto"/>
      </w:pPr>
      <w:rPr>
        <w:b/>
        <w:bCs/>
        <w:color w:val="FFFFFF" w:themeColor="background1"/>
      </w:rPr>
      <w:tblPr/>
      <w:tcPr>
        <w:tc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nil"/>
          <w:insideV w:val="nil"/>
        </w:tcBorders>
        <w:shd w:val="clear" w:color="auto" w:fill="A58594" w:themeFill="accent4"/>
      </w:tcPr>
    </w:tblStylePr>
    <w:tblStylePr w:type="lastRow">
      <w:pPr>
        <w:spacing w:before="0" w:after="0" w:line="240" w:lineRule="auto"/>
      </w:pPr>
      <w:rPr>
        <w:b/>
        <w:bCs/>
      </w:rPr>
      <w:tblPr/>
      <w:tcPr>
        <w:tcBorders>
          <w:top w:val="double" w:color="BBA3AE" w:themeColor="accent4" w:themeTint="BF" w:sz="6" w:space="0"/>
          <w:left w:val="single" w:color="BBA3AE" w:themeColor="accent4" w:themeTint="BF" w:sz="8" w:space="0"/>
          <w:bottom w:val="single" w:color="BBA3AE" w:themeColor="accent4" w:themeTint="BF" w:sz="8" w:space="0"/>
          <w:right w:val="single" w:color="BBA3AE"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single" w:color="FFB8B8" w:themeColor="accent5" w:themeTint="BF" w:sz="8" w:space="0"/>
      </w:tblBorders>
    </w:tblPr>
    <w:tblStylePr w:type="firstRow">
      <w:pPr>
        <w:spacing w:before="0" w:after="0" w:line="240" w:lineRule="auto"/>
      </w:pPr>
      <w:rPr>
        <w:b/>
        <w:bCs/>
        <w:color w:val="FFFFFF" w:themeColor="background1"/>
      </w:rPr>
      <w:tblPr/>
      <w:tcPr>
        <w:tc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nil"/>
          <w:insideV w:val="nil"/>
        </w:tcBorders>
        <w:shd w:val="clear" w:color="auto" w:fill="FFA2A1" w:themeFill="accent5"/>
      </w:tcPr>
    </w:tblStylePr>
    <w:tblStylePr w:type="lastRow">
      <w:pPr>
        <w:spacing w:before="0" w:after="0" w:line="240" w:lineRule="auto"/>
      </w:pPr>
      <w:rPr>
        <w:b/>
        <w:bCs/>
      </w:rPr>
      <w:tblPr/>
      <w:tcPr>
        <w:tcBorders>
          <w:top w:val="double" w:color="FFB8B8" w:themeColor="accent5" w:themeTint="BF" w:sz="6" w:space="0"/>
          <w:left w:val="single" w:color="FFB8B8" w:themeColor="accent5" w:themeTint="BF" w:sz="8" w:space="0"/>
          <w:bottom w:val="single" w:color="FFB8B8" w:themeColor="accent5" w:themeTint="BF" w:sz="8" w:space="0"/>
          <w:right w:val="single" w:color="FFB8B8"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single" w:color="9FC9CC" w:themeColor="accent6" w:themeTint="BF" w:sz="8" w:space="0"/>
      </w:tblBorders>
    </w:tblPr>
    <w:tblStylePr w:type="firstRow">
      <w:pPr>
        <w:spacing w:before="0" w:after="0" w:line="240" w:lineRule="auto"/>
      </w:pPr>
      <w:rPr>
        <w:b/>
        <w:bCs/>
        <w:color w:val="FFFFFF" w:themeColor="background1"/>
      </w:rPr>
      <w:tblPr/>
      <w:tcPr>
        <w:tc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nil"/>
          <w:insideV w:val="nil"/>
        </w:tcBorders>
        <w:shd w:val="clear" w:color="auto" w:fill="80B8BC" w:themeFill="accent6"/>
      </w:tcPr>
    </w:tblStylePr>
    <w:tblStylePr w:type="lastRow">
      <w:pPr>
        <w:spacing w:before="0" w:after="0" w:line="240" w:lineRule="auto"/>
      </w:pPr>
      <w:rPr>
        <w:b/>
        <w:bCs/>
      </w:rPr>
      <w:tblPr/>
      <w:tcPr>
        <w:tcBorders>
          <w:top w:val="double" w:color="9FC9CC" w:themeColor="accent6" w:themeTint="BF" w:sz="6" w:space="0"/>
          <w:left w:val="single" w:color="9FC9CC" w:themeColor="accent6" w:themeTint="BF" w:sz="8" w:space="0"/>
          <w:bottom w:val="single" w:color="9FC9CC" w:themeColor="accent6" w:themeTint="BF" w:sz="8" w:space="0"/>
          <w:right w:val="single" w:color="9FC9CC"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41372D"/>
    <w:rPr>
      <w:rFonts w:asciiTheme="majorHAnsi" w:hAnsiTheme="majorHAnsi" w:eastAsiaTheme="majorEastAsia"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styleId="NoteHeadingChar" w:customStyle="1">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styleId="PlainTextChar" w:customStyle="1">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hAnsiTheme="majorHAnsi" w:eastAsiaTheme="majorEastAsia" w:cstheme="majorBidi"/>
      <w:b/>
      <w:bCs/>
      <w:sz w:val="24"/>
      <w:szCs w:val="24"/>
    </w:rPr>
  </w:style>
  <w:style w:type="paragraph" w:styleId="TOC1">
    <w:name w:val="toc 1"/>
    <w:next w:val="Normal"/>
    <w:autoRedefine/>
    <w:uiPriority w:val="44"/>
    <w:semiHidden/>
    <w:rsid w:val="000F3DF7"/>
    <w:pPr>
      <w:tabs>
        <w:tab w:val="right" w:pos="10206"/>
      </w:tabs>
      <w:spacing w:after="120" w:line="300" w:lineRule="auto"/>
      <w:ind w:left="851" w:hanging="851"/>
    </w:pPr>
    <w:rPr>
      <w:rFonts w:ascii="Arial" w:hAnsi="Arial" w:cs="Arial"/>
      <w:b/>
      <w:noProof/>
      <w:color w:val="4B0A28"/>
      <w:sz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3608F8"/>
    <w:pPr>
      <w:tabs>
        <w:tab w:val="right" w:pos="10206"/>
      </w:tabs>
      <w:spacing w:after="0" w:line="300" w:lineRule="auto"/>
      <w:ind w:left="851" w:hanging="851"/>
    </w:pPr>
    <w:rPr>
      <w:rFonts w:ascii="Arial" w:hAnsi="Arial" w:cs="Arial"/>
      <w:color w:val="666666"/>
      <w:sz w:val="24"/>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FE515E"/>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FE515E"/>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FE515E"/>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FE515E"/>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236F8D"/>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236F8D"/>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236F8D"/>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236F8D"/>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4262E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B8411B"/>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B8411B"/>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B8411B"/>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B8411B"/>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B8411B"/>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B8411B"/>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B8411B"/>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B8411B"/>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B8411B"/>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B8411B"/>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B8411B"/>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unhideWhenUsed/>
    <w:rsid w:val="004262EC"/>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7E753D"/>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7E753D"/>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4262EC"/>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C876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C87653"/>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C87653"/>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C87653"/>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5"/>
    <w:semiHidden/>
    <w:rsid w:val="00506D7A"/>
    <w:rPr>
      <w:rFonts w:asciiTheme="majorHAnsi" w:hAnsiTheme="majorHAnsi" w:eastAsiaTheme="majorEastAsia" w:cstheme="majorBidi"/>
      <w:spacing w:val="-10"/>
      <w:kern w:val="28"/>
      <w:sz w:val="56"/>
      <w:szCs w:val="56"/>
    </w:r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9"/>
      </w:numPr>
    </w:pPr>
  </w:style>
  <w:style w:type="numbering" w:styleId="BackgroundList" w:customStyle="1">
    <w:name w:val="Background List"/>
    <w:uiPriority w:val="99"/>
    <w:rsid w:val="0067786B"/>
    <w:pPr>
      <w:numPr>
        <w:numId w:val="4"/>
      </w:numPr>
    </w:pPr>
  </w:style>
  <w:style w:type="paragraph" w:styleId="BrowneBackground" w:customStyle="1">
    <w:name w:val="Browne_Background"/>
    <w:qFormat/>
    <w:rsid w:val="005B188E"/>
    <w:pPr>
      <w:numPr>
        <w:numId w:val="5"/>
      </w:numPr>
      <w:spacing w:after="180" w:line="300" w:lineRule="auto"/>
      <w:jc w:val="both"/>
    </w:pPr>
    <w:rPr>
      <w:rFonts w:ascii="Arial" w:hAnsi="Arial" w:cs="Arial"/>
      <w:sz w:val="21"/>
    </w:rPr>
  </w:style>
  <w:style w:type="paragraph" w:styleId="BrowneBulletLevel2" w:customStyle="1">
    <w:name w:val="Browne_Bullet Level 2"/>
    <w:qFormat/>
    <w:rsid w:val="0074015A"/>
    <w:pPr>
      <w:numPr>
        <w:ilvl w:val="1"/>
        <w:numId w:val="8"/>
      </w:numPr>
      <w:spacing w:after="180" w:line="300" w:lineRule="auto"/>
    </w:pPr>
    <w:rPr>
      <w:rFonts w:ascii="Arial" w:hAnsi="Arial" w:cs="Arial"/>
      <w:color w:val="000000" w:themeColor="text1"/>
      <w:sz w:val="21"/>
    </w:rPr>
  </w:style>
  <w:style w:type="paragraph" w:styleId="BrowneBulletLevel3" w:customStyle="1">
    <w:name w:val="Browne_Bullet Level 3"/>
    <w:qFormat/>
    <w:rsid w:val="0074015A"/>
    <w:pPr>
      <w:numPr>
        <w:ilvl w:val="2"/>
        <w:numId w:val="8"/>
      </w:numPr>
      <w:spacing w:after="180" w:line="300" w:lineRule="auto"/>
    </w:pPr>
    <w:rPr>
      <w:rFonts w:ascii="Arial" w:hAnsi="Arial" w:cs="Arial"/>
      <w:color w:val="000000" w:themeColor="text1"/>
      <w:sz w:val="21"/>
    </w:rPr>
  </w:style>
  <w:style w:type="numbering" w:styleId="BrowneBulletList" w:customStyle="1">
    <w:name w:val="Browne_Bullet List"/>
    <w:uiPriority w:val="99"/>
    <w:rsid w:val="00B733C9"/>
    <w:pPr>
      <w:numPr>
        <w:numId w:val="9"/>
      </w:numPr>
    </w:pPr>
  </w:style>
  <w:style w:type="paragraph" w:styleId="BrowneCalloutText" w:customStyle="1">
    <w:name w:val="Browne_Callout Text"/>
    <w:semiHidden/>
    <w:qFormat/>
    <w:rsid w:val="00084045"/>
    <w:pPr>
      <w:suppressAutoHyphens/>
      <w:spacing w:before="240" w:after="240" w:line="300" w:lineRule="auto"/>
    </w:pPr>
    <w:rPr>
      <w:rFonts w:ascii="Arial" w:hAnsi="Arial" w:cs="Arial"/>
      <w:color w:val="4B0A28"/>
      <w:sz w:val="24"/>
    </w:rPr>
  </w:style>
  <w:style w:type="paragraph" w:styleId="BrowneHeading1" w:customStyle="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styleId="BrowneHeading2" w:customStyle="1">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styleId="BrowneHeading3" w:customStyle="1">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styleId="BrowneHeading4" w:customStyle="1">
    <w:name w:val="Browne_Heading 4"/>
    <w:next w:val="Normal"/>
    <w:uiPriority w:val="5"/>
    <w:qFormat/>
    <w:rsid w:val="00B4042D"/>
    <w:pPr>
      <w:keepNext/>
      <w:spacing w:before="240" w:after="0" w:line="300" w:lineRule="auto"/>
      <w:outlineLvl w:val="5"/>
    </w:pPr>
    <w:rPr>
      <w:rFonts w:ascii="Arial" w:hAnsi="Arial" w:cs="Arial"/>
      <w:b/>
      <w:color w:val="4B0A28"/>
    </w:rPr>
  </w:style>
  <w:style w:type="numbering" w:styleId="BrowneHeadings" w:customStyle="1">
    <w:name w:val="Browne_Headings"/>
    <w:uiPriority w:val="99"/>
    <w:rsid w:val="00A06830"/>
    <w:pPr>
      <w:numPr>
        <w:numId w:val="14"/>
      </w:numPr>
    </w:pPr>
  </w:style>
  <w:style w:type="paragraph" w:styleId="BrowneNumberLevel1" w:customStyle="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styleId="BrowneNumberLevel2" w:customStyle="1">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styleId="BrowneNumberLevel3" w:customStyle="1">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styleId="BrowneNumberList" w:customStyle="1">
    <w:name w:val="Browne_Number List"/>
    <w:uiPriority w:val="99"/>
    <w:rsid w:val="00056D65"/>
    <w:pPr>
      <w:numPr>
        <w:numId w:val="16"/>
      </w:numPr>
    </w:pPr>
  </w:style>
  <w:style w:type="numbering" w:styleId="BrownePartieList" w:customStyle="1">
    <w:name w:val="Browne_Partie List"/>
    <w:uiPriority w:val="99"/>
    <w:rsid w:val="0067786B"/>
    <w:pPr>
      <w:numPr>
        <w:numId w:val="19"/>
      </w:numPr>
    </w:pPr>
  </w:style>
  <w:style w:type="table" w:styleId="BrowneJacobsonTable" w:customStyle="1">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color="DF4E3E" w:sz="24" w:space="0"/>
      </w:tblBorders>
      <w:tblCellMar>
        <w:left w:w="142" w:type="dxa"/>
        <w:right w:w="142" w:type="dxa"/>
      </w:tblCellMar>
    </w:tblPr>
    <w:tcPr>
      <w:vAlign w:val="center"/>
    </w:tcPr>
    <w:tblStylePr w:type="firstRow">
      <w:pPr>
        <w:wordWrap/>
        <w:spacing w:before="0" w:beforeLines="0" w:beforeAutospacing="0" w:after="0" w:afterLines="0" w:afterAutospacing="0" w:line="240" w:lineRule="auto"/>
        <w:jc w:val="left"/>
      </w:pPr>
      <w:rPr>
        <w:rFonts w:ascii="Arial" w:hAnsi="Arial"/>
        <w:b/>
        <w:bCs/>
        <w:i w:val="0"/>
        <w:sz w:val="21"/>
      </w:rPr>
      <w:tblPr/>
      <w:tcPr>
        <w:tcBorders>
          <w:top w:val="single" w:color="4B0A28" w:themeColor="accent1" w:sz="24" w:space="0"/>
          <w:bottom w:val="single" w:color="4B0A28" w:themeColor="accent1" w:sz="4" w:space="0"/>
        </w:tcBorders>
      </w:tcPr>
    </w:tblStylePr>
    <w:tblStylePr w:type="lastRow">
      <w:pPr>
        <w:wordWrap/>
        <w:spacing w:before="0" w:beforeLines="0" w:beforeAutospacing="0" w:after="0" w:afterLines="0" w:afterAutospacing="0" w:line="240" w:lineRule="auto"/>
      </w:pPr>
      <w:rPr>
        <w:rFonts w:ascii="Arial" w:hAnsi="Arial"/>
        <w:b/>
        <w:bCs/>
        <w:sz w:val="21"/>
      </w:rPr>
      <w:tblPr/>
      <w:tcPr>
        <w:tcBorders>
          <w:top w:val="single" w:color="DF4E3E" w:sz="8" w:space="0"/>
          <w:bottom w:val="single" w:color="DF4E3E" w:sz="8" w:space="0"/>
        </w:tcBorders>
      </w:tcPr>
    </w:tblStylePr>
    <w:tblStylePr w:type="firstCol">
      <w:pPr>
        <w:wordWrap/>
        <w:spacing w:before="0" w:beforeLines="0" w:beforeAutospacing="0" w:after="0" w:afterLines="0" w:afterAutospacing="0" w:line="240" w:lineRule="auto"/>
      </w:pPr>
      <w:rPr>
        <w:rFonts w:ascii="Arial" w:hAnsi="Arial"/>
        <w:b w:val="0"/>
        <w:bCs/>
        <w:sz w:val="21"/>
      </w:rPr>
    </w:tblStylePr>
    <w:tblStylePr w:type="lastCol">
      <w:pPr>
        <w:wordWrap/>
        <w:spacing w:before="0" w:beforeLines="0" w:beforeAutospacing="0" w:after="0" w:afterLines="0" w:afterAutospacing="0" w:line="240" w:lineRule="auto"/>
      </w:pPr>
      <w:rPr>
        <w:rFonts w:ascii="Arial" w:hAnsi="Arial"/>
        <w:b w:val="0"/>
        <w:bCs/>
        <w:sz w:val="21"/>
      </w:rPr>
    </w:tblStylePr>
    <w:tblStylePr w:type="band1Vert">
      <w:pPr>
        <w:wordWrap/>
        <w:spacing w:before="0" w:beforeLines="0" w:beforeAutospacing="0" w:after="0" w:afterLines="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0" w:beforeLines="0" w:beforeAutospacing="0" w:after="0" w:afterLines="0" w:afterAutospacing="0" w:line="240" w:lineRule="auto"/>
      </w:pPr>
    </w:tblStylePr>
    <w:tblStylePr w:type="band1Horz">
      <w:pPr>
        <w:wordWrap/>
        <w:spacing w:before="0" w:beforeLines="0" w:beforeAutospacing="0" w:after="0" w:afterLines="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0" w:beforeLines="0" w:beforeAutospacing="0" w:after="0" w:afterLines="0" w:afterAutospacing="0" w:line="240" w:lineRule="auto"/>
      </w:pPr>
    </w:tblStylePr>
    <w:tblStylePr w:type="neCell">
      <w:pPr>
        <w:wordWrap/>
        <w:spacing w:before="0" w:beforeLines="0" w:beforeAutospacing="0" w:after="0" w:afterLines="0" w:afterAutospacing="0" w:line="240" w:lineRule="auto"/>
      </w:pPr>
    </w:tblStylePr>
    <w:tblStylePr w:type="nwCell">
      <w:pPr>
        <w:wordWrap/>
        <w:spacing w:before="0" w:beforeLines="0" w:beforeAutospacing="0" w:after="0" w:afterLines="0" w:afterAutospacing="0" w:line="240" w:lineRule="auto"/>
      </w:pPr>
    </w:tblStylePr>
    <w:tblStylePr w:type="seCell">
      <w:pPr>
        <w:wordWrap/>
        <w:spacing w:before="0" w:beforeLines="0" w:beforeAutospacing="0" w:after="0" w:afterLines="0" w:afterAutospacing="0" w:line="240" w:lineRule="auto"/>
      </w:pPr>
    </w:tblStylePr>
    <w:tblStylePr w:type="swCell">
      <w:pPr>
        <w:wordWrap/>
        <w:spacing w:before="0" w:beforeLines="0" w:beforeAutospacing="0" w:after="0" w:afterLines="0" w:afterAutospacing="0" w:line="240" w:lineRule="auto"/>
      </w:pPr>
    </w:tblStylePr>
  </w:style>
  <w:style w:type="paragraph" w:styleId="BrowneDividerNumberWhite" w:customStyle="1">
    <w:name w:val="Browne_Divider Number (White)"/>
    <w:basedOn w:val="BrowneDividerNumber"/>
    <w:uiPriority w:val="5"/>
    <w:semiHidden/>
    <w:qFormat/>
    <w:rsid w:val="00E535A0"/>
    <w:rPr>
      <w:color w:val="FFFFFF" w:themeColor="background1"/>
    </w:rPr>
  </w:style>
  <w:style w:type="paragraph" w:styleId="BrownePageTitleWhite" w:customStyle="1">
    <w:name w:val="Browne_Page Title (White)"/>
    <w:basedOn w:val="BrowneChapterTitle"/>
    <w:uiPriority w:val="5"/>
    <w:qFormat/>
    <w:rsid w:val="008C3BC8"/>
    <w:rPr>
      <w:color w:val="FFFFFF" w:themeColor="background1"/>
    </w:rPr>
  </w:style>
  <w:style w:type="paragraph" w:styleId="BrowneContactUsOfficeLoction" w:customStyle="1">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styleId="BrowneContactUsEntity" w:customStyle="1">
    <w:name w:val="Browne_Contact Us Entity"/>
    <w:uiPriority w:val="5"/>
    <w:semiHidden/>
    <w:qFormat/>
    <w:rsid w:val="00BC61D3"/>
    <w:pPr>
      <w:spacing w:after="0" w:line="240" w:lineRule="auto"/>
    </w:pPr>
    <w:rPr>
      <w:rFonts w:ascii="Arial" w:hAnsi="Arial" w:cs="Arial"/>
      <w:color w:val="FFFFFF" w:themeColor="background1"/>
      <w:sz w:val="16"/>
    </w:rPr>
  </w:style>
  <w:style w:type="paragraph" w:styleId="BrowneContactUsAddress" w:customStyle="1">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styleId="BrowneContactUsLegal" w:customStyle="1">
    <w:name w:val="Browne_Contact Us Legal"/>
    <w:uiPriority w:val="5"/>
    <w:semiHidden/>
    <w:qFormat/>
    <w:rsid w:val="00997A5B"/>
    <w:pPr>
      <w:spacing w:after="0" w:line="240" w:lineRule="auto"/>
    </w:pPr>
    <w:rPr>
      <w:rFonts w:ascii="Arial" w:hAnsi="Arial" w:cs="Arial"/>
      <w:color w:val="FFFFFF" w:themeColor="background1"/>
      <w:sz w:val="16"/>
    </w:rPr>
  </w:style>
  <w:style w:type="paragraph" w:styleId="BrowneCopyright" w:customStyle="1">
    <w:name w:val="Browne_Copyright"/>
    <w:basedOn w:val="BrowneBodyText"/>
    <w:uiPriority w:val="5"/>
    <w:semiHidden/>
    <w:qFormat/>
    <w:rsid w:val="00352D2A"/>
    <w:pPr>
      <w:jc w:val="right"/>
    </w:pPr>
    <w:rPr>
      <w:color w:val="FFFFFF" w:themeColor="background1"/>
      <w:sz w:val="14"/>
    </w:rPr>
  </w:style>
  <w:style w:type="paragraph" w:styleId="BrowneBackCoverContact" w:customStyle="1">
    <w:name w:val="Browne_Back Cover Contact"/>
    <w:semiHidden/>
    <w:qFormat/>
    <w:rsid w:val="00D17286"/>
    <w:pPr>
      <w:spacing w:after="0" w:line="240" w:lineRule="auto"/>
    </w:pPr>
    <w:rPr>
      <w:rFonts w:ascii="Georgia" w:hAnsi="Georgia" w:cs="Arial"/>
      <w:b/>
      <w:color w:val="FFFFFF" w:themeColor="background1"/>
      <w:sz w:val="40"/>
    </w:rPr>
  </w:style>
  <w:style w:type="numbering" w:styleId="BrowneBackgroundClauses" w:customStyle="1">
    <w:name w:val="Browne_Background Clauses"/>
    <w:uiPriority w:val="99"/>
    <w:rsid w:val="008E524B"/>
    <w:pPr>
      <w:numPr>
        <w:numId w:val="6"/>
      </w:numPr>
    </w:pPr>
  </w:style>
  <w:style w:type="paragraph" w:styleId="BrowneBioSubtitle" w:customStyle="1">
    <w:name w:val="Browne_Bio Subtitle"/>
    <w:basedOn w:val="BrownePageTitle"/>
    <w:semiHidden/>
    <w:qFormat/>
    <w:rsid w:val="00D65C97"/>
    <w:pPr>
      <w:framePr w:hSpace="181" w:wrap="around" w:hAnchor="text" w:vAnchor="page" w:y="568"/>
      <w:suppressOverlap/>
    </w:pPr>
    <w:rPr>
      <w:sz w:val="48"/>
    </w:rPr>
  </w:style>
  <w:style w:type="paragraph" w:styleId="BrowneBioName" w:customStyle="1">
    <w:name w:val="Browne_Bio Name"/>
    <w:semiHidden/>
    <w:qFormat/>
    <w:rsid w:val="00FE6839"/>
    <w:pPr>
      <w:spacing w:after="40" w:line="240" w:lineRule="auto"/>
    </w:pPr>
    <w:rPr>
      <w:rFonts w:ascii="Arial" w:hAnsi="Arial" w:cs="Arial"/>
      <w:b/>
      <w:color w:val="4B0A28"/>
      <w:sz w:val="21"/>
    </w:rPr>
  </w:style>
  <w:style w:type="paragraph" w:styleId="BrowneBioPosition" w:customStyle="1">
    <w:name w:val="Browne_Bio Position"/>
    <w:semiHidden/>
    <w:qFormat/>
    <w:rsid w:val="00FE6839"/>
    <w:pPr>
      <w:spacing w:after="240" w:line="240" w:lineRule="auto"/>
    </w:pPr>
    <w:rPr>
      <w:rFonts w:ascii="Arial" w:hAnsi="Arial" w:cs="Arial"/>
      <w:color w:val="4B0A28"/>
      <w:sz w:val="21"/>
    </w:rPr>
  </w:style>
  <w:style w:type="paragraph" w:styleId="BrowneBioContactDetails" w:customStyle="1">
    <w:name w:val="Browne_Bio Contact Details"/>
    <w:basedOn w:val="BrowneBioName"/>
    <w:semiHidden/>
    <w:qFormat/>
    <w:rsid w:val="00FE6839"/>
    <w:pPr>
      <w:spacing w:before="40"/>
    </w:pPr>
    <w:rPr>
      <w:b w:val="0"/>
      <w:sz w:val="19"/>
    </w:rPr>
  </w:style>
  <w:style w:type="paragraph" w:styleId="BrowneBioHeading" w:customStyle="1">
    <w:name w:val="Browne_Bio Heading"/>
    <w:qFormat/>
    <w:rsid w:val="006F3F00"/>
    <w:pPr>
      <w:spacing w:before="240" w:after="60" w:line="240" w:lineRule="auto"/>
    </w:pPr>
    <w:rPr>
      <w:rFonts w:ascii="Arial" w:hAnsi="Arial" w:cs="Arial"/>
      <w:b/>
      <w:color w:val="4B0A28"/>
      <w:sz w:val="28"/>
    </w:rPr>
  </w:style>
  <w:style w:type="paragraph" w:styleId="BrowneQuoteText" w:customStyle="1">
    <w:name w:val="Browne_Quote Text"/>
    <w:basedOn w:val="BrowneBioQuote"/>
    <w:uiPriority w:val="5"/>
    <w:semiHidden/>
    <w:qFormat/>
    <w:rsid w:val="004E2314"/>
    <w:pPr>
      <w:pBdr>
        <w:top w:val="single" w:color="007078" w:sz="18" w:space="5"/>
      </w:pBdr>
      <w:spacing w:before="360" w:after="120" w:line="300" w:lineRule="auto"/>
      <w:ind w:left="567"/>
    </w:pPr>
    <w:rPr>
      <w:sz w:val="24"/>
    </w:rPr>
  </w:style>
  <w:style w:type="paragraph" w:styleId="BrowneBioQuote" w:customStyle="1">
    <w:name w:val="Browne_Bio Quote"/>
    <w:semiHidden/>
    <w:qFormat/>
    <w:rsid w:val="005527AE"/>
    <w:pPr>
      <w:spacing w:before="240" w:after="240" w:line="240" w:lineRule="auto"/>
    </w:pPr>
    <w:rPr>
      <w:rFonts w:ascii="Arial" w:hAnsi="Arial" w:cs="Arial"/>
      <w:i/>
      <w:noProof/>
      <w:color w:val="007078"/>
      <w:sz w:val="21"/>
    </w:rPr>
  </w:style>
  <w:style w:type="paragraph" w:styleId="BrowneBioQuoteSource" w:customStyle="1">
    <w:name w:val="Browne_Bio Quote Source"/>
    <w:basedOn w:val="BrowneBioQuote"/>
    <w:semiHidden/>
    <w:qFormat/>
    <w:rsid w:val="005527AE"/>
    <w:rPr>
      <w:b/>
      <w:i w:val="0"/>
      <w:sz w:val="18"/>
    </w:rPr>
  </w:style>
  <w:style w:type="paragraph" w:styleId="BrowneTABLESPACER" w:customStyle="1">
    <w:name w:val="Browne_TABLE SPACER"/>
    <w:uiPriority w:val="5"/>
    <w:qFormat/>
    <w:rsid w:val="00E4771F"/>
    <w:pPr>
      <w:spacing w:after="0" w:line="240" w:lineRule="auto"/>
    </w:pPr>
    <w:rPr>
      <w:rFonts w:ascii="Arial" w:hAnsi="Arial" w:cs="Arial"/>
      <w:color w:val="FFFFFF" w:themeColor="background1"/>
      <w:sz w:val="21"/>
    </w:rPr>
  </w:style>
  <w:style w:type="paragraph" w:styleId="BrowneContactUsEntityBlack" w:customStyle="1">
    <w:name w:val="Browne_Contact Us Entity (Black)"/>
    <w:basedOn w:val="BrowneContactUsEntity"/>
    <w:uiPriority w:val="5"/>
    <w:semiHidden/>
    <w:qFormat/>
    <w:rsid w:val="00BC61D3"/>
    <w:pPr>
      <w:framePr w:hSpace="181" w:wrap="around" w:hAnchor="text" w:vAnchor="page" w:y="3403"/>
      <w:suppressOverlap/>
    </w:pPr>
    <w:rPr>
      <w:color w:val="000000" w:themeColor="text1"/>
    </w:rPr>
  </w:style>
  <w:style w:type="paragraph" w:styleId="BrowneContactUsAddressBlack" w:customStyle="1">
    <w:name w:val="Browne_Contact Us Address (Black)"/>
    <w:basedOn w:val="BrowneContactUsAddress"/>
    <w:uiPriority w:val="5"/>
    <w:semiHidden/>
    <w:qFormat/>
    <w:rsid w:val="00B610B4"/>
    <w:pPr>
      <w:framePr w:hSpace="181" w:wrap="around" w:hAnchor="text" w:vAnchor="page" w:y="3403"/>
      <w:suppressOverlap/>
    </w:pPr>
    <w:rPr>
      <w:color w:val="000000" w:themeColor="text1"/>
    </w:rPr>
  </w:style>
  <w:style w:type="paragraph" w:styleId="BrowneContactUsLegalBlack" w:customStyle="1">
    <w:name w:val="Browne_Contact Us Legal (Black)"/>
    <w:basedOn w:val="BrowneContactUsLegal"/>
    <w:uiPriority w:val="5"/>
    <w:semiHidden/>
    <w:qFormat/>
    <w:rsid w:val="00F72C6E"/>
    <w:pPr>
      <w:framePr w:hSpace="181" w:wrap="around" w:hAnchor="text" w:vAnchor="page" w:y="3403"/>
      <w:ind w:right="567"/>
      <w:suppressOverlap/>
    </w:pPr>
    <w:rPr>
      <w:color w:val="000000" w:themeColor="text1"/>
    </w:rPr>
  </w:style>
  <w:style w:type="paragraph" w:styleId="BrowneFooterReferenceNumber" w:customStyle="1">
    <w:name w:val="Browne_Footer Reference Number"/>
    <w:basedOn w:val="BrowneFooterInformation"/>
    <w:uiPriority w:val="5"/>
    <w:semiHidden/>
    <w:qFormat/>
    <w:rsid w:val="00763FD1"/>
    <w:pPr>
      <w:jc w:val="right"/>
    </w:pPr>
    <w:rPr>
      <w:color w:val="BFBFBF" w:themeColor="background1" w:themeShade="BF"/>
      <w:sz w:val="13"/>
    </w:rPr>
  </w:style>
  <w:style w:type="paragraph" w:styleId="BrowneFooterInformationWhite" w:customStyle="1">
    <w:name w:val="Browne_Footer Information (White)"/>
    <w:basedOn w:val="BrowneFooterInformation"/>
    <w:uiPriority w:val="5"/>
    <w:semiHidden/>
    <w:qFormat/>
    <w:rsid w:val="00595BBC"/>
    <w:rPr>
      <w:color w:val="FFFFFF" w:themeColor="background1"/>
    </w:rPr>
  </w:style>
  <w:style w:type="paragraph" w:styleId="BrowneFooterPageNumberWhite" w:customStyle="1">
    <w:name w:val="Browne_Footer Page Number (White)"/>
    <w:basedOn w:val="BrowneFooterPageNumber"/>
    <w:uiPriority w:val="5"/>
    <w:semiHidden/>
    <w:qFormat/>
    <w:rsid w:val="00595BBC"/>
    <w:rPr>
      <w:color w:val="FFFFFF" w:themeColor="background1"/>
    </w:rPr>
  </w:style>
  <w:style w:type="paragraph" w:styleId="BrowneBodyTextLevel5" w:customStyle="1">
    <w:name w:val="Browne_Body Text Level 5"/>
    <w:basedOn w:val="BrowneBodyTextLevel1"/>
    <w:qFormat/>
    <w:rsid w:val="0091218A"/>
    <w:pPr>
      <w:ind w:left="2835"/>
    </w:pPr>
  </w:style>
  <w:style w:type="paragraph" w:styleId="BrowneQuoteSource" w:customStyle="1">
    <w:name w:val="Browne_Quote Source"/>
    <w:basedOn w:val="BrowneQuoteText"/>
    <w:next w:val="BrowneBodyText"/>
    <w:uiPriority w:val="5"/>
    <w:semiHidden/>
    <w:qFormat/>
    <w:rsid w:val="004E2314"/>
    <w:pPr>
      <w:spacing w:before="60" w:after="240"/>
    </w:pPr>
    <w:rPr>
      <w:b/>
      <w:i w:val="0"/>
    </w:rPr>
  </w:style>
  <w:style w:type="paragraph" w:styleId="BrowneBioBodyText" w:customStyle="1">
    <w:name w:val="Browne_Bio Body Text"/>
    <w:basedOn w:val="BrowneBodyText"/>
    <w:qFormat/>
    <w:rsid w:val="00513A13"/>
    <w:rPr>
      <w:noProof/>
    </w:rPr>
  </w:style>
  <w:style w:type="paragraph" w:styleId="BrowneBodyText" w:customStyle="1">
    <w:name w:val="Browne_Body Text"/>
    <w:qFormat/>
    <w:rsid w:val="0074066B"/>
    <w:pPr>
      <w:spacing w:after="180" w:line="300" w:lineRule="auto"/>
    </w:pPr>
    <w:rPr>
      <w:rFonts w:ascii="Arial" w:hAnsi="Arial" w:cs="Arial"/>
      <w:sz w:val="21"/>
    </w:rPr>
  </w:style>
  <w:style w:type="paragraph" w:styleId="BrowneBioBullet" w:customStyle="1">
    <w:name w:val="Browne_Bio Bullet"/>
    <w:basedOn w:val="BrowneBioBodyText"/>
    <w:qFormat/>
    <w:rsid w:val="00047515"/>
    <w:pPr>
      <w:numPr>
        <w:numId w:val="7"/>
      </w:numPr>
      <w:ind w:left="227" w:hanging="227"/>
    </w:pPr>
  </w:style>
  <w:style w:type="paragraph" w:styleId="BrownePageTitle" w:customStyle="1">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styleId="BrowneChapterTitle" w:customStyle="1">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styleId="BrowneBioTitle" w:customStyle="1">
    <w:name w:val="Browne_Bio Title"/>
    <w:basedOn w:val="BrowneChapterTitle"/>
    <w:semiHidden/>
    <w:qFormat/>
    <w:rsid w:val="00D65C97"/>
    <w:pPr>
      <w:framePr w:hSpace="181" w:wrap="around" w:hAnchor="text" w:vAnchor="page" w:y="568"/>
      <w:suppressOverlap/>
    </w:pPr>
    <w:rPr>
      <w:sz w:val="48"/>
    </w:rPr>
  </w:style>
  <w:style w:type="paragraph" w:styleId="BrowneBodyTextLevel1" w:customStyle="1">
    <w:name w:val="Browne_Body Text Level 1"/>
    <w:qFormat/>
    <w:rsid w:val="0074066B"/>
    <w:pPr>
      <w:spacing w:after="180" w:line="300" w:lineRule="auto"/>
      <w:ind w:left="624"/>
    </w:pPr>
    <w:rPr>
      <w:rFonts w:ascii="Arial" w:hAnsi="Arial" w:cs="Arial"/>
      <w:sz w:val="21"/>
    </w:rPr>
  </w:style>
  <w:style w:type="paragraph" w:styleId="BrowneBodyTextLevel2" w:customStyle="1">
    <w:name w:val="Browne_Body Text Level 2"/>
    <w:basedOn w:val="BrowneBodyTextLevel1"/>
    <w:qFormat/>
    <w:rsid w:val="0074066B"/>
    <w:pPr>
      <w:jc w:val="both"/>
    </w:pPr>
  </w:style>
  <w:style w:type="paragraph" w:styleId="BrowneBodyTextLevel3" w:customStyle="1">
    <w:name w:val="Browne_Body Text Level 3"/>
    <w:basedOn w:val="BrowneBodyTextLevel2"/>
    <w:qFormat/>
    <w:rsid w:val="0091218A"/>
    <w:pPr>
      <w:ind w:left="1701"/>
    </w:pPr>
  </w:style>
  <w:style w:type="paragraph" w:styleId="BrowneBodyTextLevel4" w:customStyle="1">
    <w:name w:val="Browne_Body Text Level 4"/>
    <w:basedOn w:val="BrowneBodyTextLevel1"/>
    <w:qFormat/>
    <w:rsid w:val="0091218A"/>
    <w:pPr>
      <w:ind w:left="2268"/>
    </w:pPr>
  </w:style>
  <w:style w:type="paragraph" w:styleId="BrowneBulletLevel1" w:customStyle="1">
    <w:name w:val="Browne_Bullet Level 1"/>
    <w:qFormat/>
    <w:rsid w:val="00AB02F7"/>
    <w:pPr>
      <w:numPr>
        <w:numId w:val="8"/>
      </w:numPr>
      <w:spacing w:after="180" w:line="300" w:lineRule="auto"/>
      <w:jc w:val="both"/>
    </w:pPr>
    <w:rPr>
      <w:rFonts w:ascii="Arial" w:hAnsi="Arial" w:cs="Arial"/>
      <w:color w:val="000000" w:themeColor="text1"/>
    </w:rPr>
  </w:style>
  <w:style w:type="paragraph" w:styleId="BrowneClauseLevel1" w:customStyle="1">
    <w:name w:val="Browne_Clause Level 1"/>
    <w:basedOn w:val="BrowneHeadingLevel1"/>
    <w:uiPriority w:val="1"/>
    <w:qFormat/>
    <w:rsid w:val="006C221E"/>
    <w:rPr>
      <w:b w:val="0"/>
      <w:color w:val="000000" w:themeColor="text1"/>
    </w:rPr>
  </w:style>
  <w:style w:type="paragraph" w:styleId="BrowneCoverPageBasicDate" w:customStyle="1">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styleId="BrowneCoverPageBasicDateBlack" w:customStyle="1">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styleId="BrowneCoverPageBasicDateWhite" w:customStyle="1">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styleId="BrowneCoverPageBasicLegalLine" w:customStyle="1">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styleId="BrowneCoverPageBasicLegalLineBlack" w:customStyle="1">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styleId="BrowneCoverPageBasicMainTitle" w:customStyle="1">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styleId="BrowneCoverPageBasicMainTitleBlack" w:customStyle="1">
    <w:name w:val="Browne_Cover Page Basic Main Title (Black)"/>
    <w:uiPriority w:val="5"/>
    <w:semiHidden/>
    <w:qFormat/>
    <w:rsid w:val="00B04078"/>
    <w:pPr>
      <w:spacing w:after="0" w:line="240" w:lineRule="auto"/>
    </w:pPr>
    <w:rPr>
      <w:rFonts w:ascii="Georgia" w:hAnsi="Georgia" w:cs="Arial"/>
      <w:b/>
      <w:color w:val="000000"/>
      <w:sz w:val="48"/>
    </w:rPr>
  </w:style>
  <w:style w:type="paragraph" w:styleId="BrowneCoverPageBasicMainTitleWhite" w:customStyle="1">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styleId="BrowneCoverPageBasicSubtitle" w:customStyle="1">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styleId="BrowneCoverPageBasicSubtitleBlack" w:customStyle="1">
    <w:name w:val="Browne_Cover Page Basic Subtitle (Black)"/>
    <w:basedOn w:val="BrowneCoverPageBasicMainTitleBlack"/>
    <w:uiPriority w:val="5"/>
    <w:semiHidden/>
    <w:qFormat/>
    <w:rsid w:val="00B04078"/>
    <w:rPr>
      <w:b w:val="0"/>
      <w:sz w:val="40"/>
    </w:rPr>
  </w:style>
  <w:style w:type="paragraph" w:styleId="BrowneCoverPageBasicSubtitleWhite" w:customStyle="1">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styleId="BrowneCoverPageLegalLine" w:customStyle="1">
    <w:name w:val="Browne_Cover Page Legal Line"/>
    <w:uiPriority w:val="5"/>
    <w:semiHidden/>
    <w:qFormat/>
    <w:rsid w:val="00B04078"/>
    <w:pPr>
      <w:spacing w:after="0" w:line="240" w:lineRule="auto"/>
    </w:pPr>
    <w:rPr>
      <w:rFonts w:ascii="Arial" w:hAnsi="Arial" w:cs="Arial"/>
      <w:b/>
      <w:color w:val="000000" w:themeColor="text1"/>
      <w:sz w:val="24"/>
    </w:rPr>
  </w:style>
  <w:style w:type="paragraph" w:styleId="BrowneCoverPageDate" w:customStyle="1">
    <w:name w:val="Browne_Cover Page Date"/>
    <w:basedOn w:val="BrowneCoverPageSubtitle"/>
    <w:uiPriority w:val="5"/>
    <w:semiHidden/>
    <w:qFormat/>
    <w:rsid w:val="0057550A"/>
    <w:pPr>
      <w:spacing w:before="480" w:after="0"/>
    </w:pPr>
    <w:rPr>
      <w:b w:val="0"/>
      <w:color w:val="000000" w:themeColor="text1"/>
      <w:sz w:val="32"/>
    </w:rPr>
  </w:style>
  <w:style w:type="paragraph" w:styleId="BrowneHeadingLevel1" w:customStyle="1">
    <w:name w:val="Browne_Heading Level 1"/>
    <w:basedOn w:val="Normal"/>
    <w:qFormat/>
    <w:rsid w:val="00F10035"/>
    <w:pPr>
      <w:numPr>
        <w:numId w:val="10"/>
      </w:numPr>
      <w:outlineLvl w:val="2"/>
    </w:pPr>
    <w:rPr>
      <w:b/>
    </w:rPr>
  </w:style>
  <w:style w:type="paragraph" w:styleId="BrowneHeadingLevel2" w:customStyle="1">
    <w:name w:val="Browne_Heading Level 2"/>
    <w:basedOn w:val="BrowneHeadingLevel1"/>
    <w:uiPriority w:val="2"/>
    <w:qFormat/>
    <w:rsid w:val="0091218A"/>
    <w:pPr>
      <w:numPr>
        <w:ilvl w:val="1"/>
      </w:numPr>
      <w:outlineLvl w:val="9"/>
    </w:pPr>
  </w:style>
  <w:style w:type="paragraph" w:styleId="BrowneHeadingLevel3" w:customStyle="1">
    <w:name w:val="Browne_Heading Level 3"/>
    <w:basedOn w:val="BrowneHeadingLevel2"/>
    <w:uiPriority w:val="4"/>
    <w:qFormat/>
    <w:rsid w:val="0091218A"/>
    <w:pPr>
      <w:numPr>
        <w:ilvl w:val="2"/>
      </w:numPr>
    </w:pPr>
  </w:style>
  <w:style w:type="paragraph" w:styleId="BrowneClauseLevel4" w:customStyle="1">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styleId="BrowneClauseLevel5" w:customStyle="1">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styleId="BrowneClauseLevel2" w:customStyle="1">
    <w:name w:val="Browne_Clause Level 2"/>
    <w:basedOn w:val="BrowneHeadingLevel2"/>
    <w:uiPriority w:val="3"/>
    <w:qFormat/>
    <w:rsid w:val="006C221E"/>
    <w:rPr>
      <w:b w:val="0"/>
      <w:color w:val="000000" w:themeColor="text1"/>
    </w:rPr>
  </w:style>
  <w:style w:type="paragraph" w:styleId="BrowneClauseLevel3" w:customStyle="1">
    <w:name w:val="Browne_Clause Level 3"/>
    <w:basedOn w:val="BrowneHeadingLevel3"/>
    <w:uiPriority w:val="5"/>
    <w:qFormat/>
    <w:rsid w:val="006C221E"/>
    <w:rPr>
      <w:b w:val="0"/>
      <w:color w:val="000000" w:themeColor="text1"/>
    </w:rPr>
  </w:style>
  <w:style w:type="numbering" w:styleId="BrowneClauses" w:customStyle="1">
    <w:name w:val="Browne_Clauses"/>
    <w:uiPriority w:val="99"/>
    <w:rsid w:val="0005714F"/>
    <w:pPr>
      <w:numPr>
        <w:numId w:val="11"/>
      </w:numPr>
    </w:pPr>
  </w:style>
  <w:style w:type="paragraph" w:styleId="BrowneContentHeader" w:customStyle="1">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styleId="BrowneContentPageheading" w:customStyle="1">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styleId="BrowneCoverPageSubtitle" w:customStyle="1">
    <w:name w:val="Browne_Cover Page Subtitle"/>
    <w:uiPriority w:val="5"/>
    <w:semiHidden/>
    <w:qFormat/>
    <w:rsid w:val="00C96C5A"/>
    <w:pPr>
      <w:spacing w:before="60" w:after="120" w:line="240" w:lineRule="auto"/>
    </w:pPr>
    <w:rPr>
      <w:rFonts w:ascii="Georgia" w:hAnsi="Georgia" w:cs="Arial"/>
      <w:b/>
      <w:color w:val="4B0A28"/>
      <w:sz w:val="40"/>
    </w:rPr>
  </w:style>
  <w:style w:type="paragraph" w:styleId="BrowneCoverPageDateWhite" w:customStyle="1">
    <w:name w:val="Browne_Cover Page Date (White)"/>
    <w:basedOn w:val="BrowneCoverPageThirdLine"/>
    <w:uiPriority w:val="5"/>
    <w:semiHidden/>
    <w:qFormat/>
    <w:rsid w:val="008E50D0"/>
    <w:rPr>
      <w:noProof/>
      <w:color w:val="FFFFFF" w:themeColor="background1"/>
    </w:rPr>
  </w:style>
  <w:style w:type="paragraph" w:styleId="BrowneCoverPageThirdLine" w:customStyle="1">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styleId="BrowneCoverPageLegalLineWhite" w:customStyle="1">
    <w:name w:val="Browne_Cover Page Legal Line (White)"/>
    <w:basedOn w:val="BrowneCoverPageSecondLine"/>
    <w:uiPriority w:val="5"/>
    <w:semiHidden/>
    <w:qFormat/>
    <w:rsid w:val="007A4CC8"/>
    <w:rPr>
      <w:color w:val="FFFFFF" w:themeColor="background1"/>
    </w:rPr>
  </w:style>
  <w:style w:type="paragraph" w:styleId="BrowneCoverPageSecondLine" w:customStyle="1">
    <w:name w:val="Browne_Cover Page Second Line"/>
    <w:uiPriority w:val="5"/>
    <w:semiHidden/>
    <w:qFormat/>
    <w:rsid w:val="00C96C5A"/>
    <w:pPr>
      <w:spacing w:before="480" w:after="0" w:line="240" w:lineRule="auto"/>
    </w:pPr>
    <w:rPr>
      <w:rFonts w:ascii="Arial" w:hAnsi="Arial" w:cs="Arial"/>
      <w:b/>
      <w:color w:val="FF4543"/>
      <w:sz w:val="32"/>
    </w:rPr>
  </w:style>
  <w:style w:type="paragraph" w:styleId="BrowneCoverPageSubtitleWhite" w:customStyle="1">
    <w:name w:val="Browne_Cover Page Subtitle (White)"/>
    <w:basedOn w:val="BrowneCoverPageSubtitle"/>
    <w:uiPriority w:val="5"/>
    <w:semiHidden/>
    <w:qFormat/>
    <w:rsid w:val="008E50D0"/>
    <w:rPr>
      <w:color w:val="FFFFFF" w:themeColor="background1"/>
    </w:rPr>
  </w:style>
  <w:style w:type="paragraph" w:styleId="BrowneCoverPageTitle" w:customStyle="1">
    <w:name w:val="Browne_Cover Page Title"/>
    <w:uiPriority w:val="5"/>
    <w:semiHidden/>
    <w:qFormat/>
    <w:rsid w:val="00CE5C97"/>
    <w:pPr>
      <w:spacing w:before="180" w:after="180" w:line="1160" w:lineRule="exact"/>
    </w:pPr>
    <w:rPr>
      <w:rFonts w:ascii="Arial" w:hAnsi="Arial" w:cs="Arial"/>
      <w:b/>
      <w:color w:val="4B0A28"/>
      <w:sz w:val="112"/>
    </w:rPr>
  </w:style>
  <w:style w:type="paragraph" w:styleId="BrowneCoverPageTitleWhite" w:customStyle="1">
    <w:name w:val="Browne_Cover Page Title (White)"/>
    <w:basedOn w:val="BrowneCoverPageTitle"/>
    <w:uiPriority w:val="5"/>
    <w:semiHidden/>
    <w:qFormat/>
    <w:rsid w:val="007A4CC8"/>
    <w:rPr>
      <w:color w:val="FFFFFF" w:themeColor="background1"/>
    </w:rPr>
  </w:style>
  <w:style w:type="paragraph" w:styleId="BrowneDefinition1" w:customStyle="1">
    <w:name w:val="Browne_Definition 1"/>
    <w:basedOn w:val="BrowneDefinitionDesc"/>
    <w:uiPriority w:val="5"/>
    <w:qFormat/>
    <w:rsid w:val="006879F9"/>
    <w:pPr>
      <w:numPr>
        <w:ilvl w:val="2"/>
      </w:numPr>
      <w:ind w:left="1248" w:hanging="624"/>
    </w:pPr>
  </w:style>
  <w:style w:type="paragraph" w:styleId="BrowneDefinitionDesc" w:customStyle="1">
    <w:name w:val="Browne_Definition Desc"/>
    <w:basedOn w:val="BrowneDefinitionTerm"/>
    <w:uiPriority w:val="5"/>
    <w:qFormat/>
    <w:rsid w:val="005B188E"/>
    <w:pPr>
      <w:numPr>
        <w:ilvl w:val="1"/>
      </w:numPr>
      <w:ind w:left="0"/>
    </w:pPr>
    <w:rPr>
      <w:b w:val="0"/>
    </w:rPr>
  </w:style>
  <w:style w:type="paragraph" w:styleId="BrowneDefinitionTerm" w:customStyle="1">
    <w:name w:val="Browne_Definition Term"/>
    <w:uiPriority w:val="5"/>
    <w:qFormat/>
    <w:rsid w:val="00A553C9"/>
    <w:pPr>
      <w:numPr>
        <w:numId w:val="12"/>
      </w:numPr>
      <w:spacing w:after="180" w:line="300" w:lineRule="auto"/>
      <w:ind w:left="0"/>
    </w:pPr>
    <w:rPr>
      <w:rFonts w:ascii="Arial" w:hAnsi="Arial" w:cs="Arial"/>
      <w:b/>
      <w:sz w:val="21"/>
    </w:rPr>
  </w:style>
  <w:style w:type="numbering" w:styleId="BrowneDefinitions" w:customStyle="1">
    <w:name w:val="Browne_Definitions"/>
    <w:uiPriority w:val="99"/>
    <w:rsid w:val="0005714F"/>
    <w:pPr>
      <w:numPr>
        <w:numId w:val="13"/>
      </w:numPr>
    </w:pPr>
  </w:style>
  <w:style w:type="paragraph" w:styleId="BrowneDefinition2" w:customStyle="1">
    <w:name w:val="Browne_Definition 2"/>
    <w:basedOn w:val="BrowneDefinitionDesc"/>
    <w:uiPriority w:val="5"/>
    <w:qFormat/>
    <w:rsid w:val="00A270DF"/>
    <w:pPr>
      <w:numPr>
        <w:ilvl w:val="3"/>
      </w:numPr>
      <w:ind w:left="1672" w:hanging="425"/>
    </w:pPr>
  </w:style>
  <w:style w:type="paragraph" w:styleId="BrowneDividerNumber" w:customStyle="1">
    <w:name w:val="Browne_Divider Number"/>
    <w:basedOn w:val="BrowneCoverPageTitle"/>
    <w:uiPriority w:val="5"/>
    <w:semiHidden/>
    <w:qFormat/>
    <w:rsid w:val="003C1452"/>
    <w:pPr>
      <w:spacing w:after="0" w:line="240" w:lineRule="auto"/>
    </w:pPr>
    <w:rPr>
      <w:color w:val="FF4543"/>
      <w:sz w:val="100"/>
    </w:rPr>
  </w:style>
  <w:style w:type="paragraph" w:styleId="BrowneDividerTitle" w:customStyle="1">
    <w:name w:val="Browne_Divider Title"/>
    <w:basedOn w:val="BrowneCoverPageTitleWhite"/>
    <w:uiPriority w:val="5"/>
    <w:semiHidden/>
    <w:qFormat/>
    <w:rsid w:val="003C1452"/>
    <w:pPr>
      <w:spacing w:after="0" w:line="960" w:lineRule="exact"/>
    </w:pPr>
    <w:rPr>
      <w:sz w:val="100"/>
    </w:rPr>
  </w:style>
  <w:style w:type="paragraph" w:styleId="BrowneFooterInformation" w:customStyle="1">
    <w:name w:val="Browne_Footer Information"/>
    <w:uiPriority w:val="5"/>
    <w:semiHidden/>
    <w:qFormat/>
    <w:rsid w:val="00513A13"/>
    <w:pPr>
      <w:spacing w:after="0" w:line="276" w:lineRule="auto"/>
    </w:pPr>
    <w:rPr>
      <w:rFonts w:ascii="Arial" w:hAnsi="Arial"/>
      <w:color w:val="4B0A28"/>
      <w:sz w:val="16"/>
    </w:rPr>
  </w:style>
  <w:style w:type="paragraph" w:styleId="BrowneFooterPageNumber" w:customStyle="1">
    <w:name w:val="Browne_Footer Page Number"/>
    <w:basedOn w:val="BrowneFooterInformation"/>
    <w:uiPriority w:val="5"/>
    <w:semiHidden/>
    <w:qFormat/>
    <w:rsid w:val="00AA28AC"/>
    <w:pPr>
      <w:jc w:val="right"/>
    </w:pPr>
  </w:style>
  <w:style w:type="paragraph" w:styleId="BrowneLegalHeading" w:customStyle="1">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styleId="BrownePageSubtitle" w:customStyle="1">
    <w:name w:val="Browne_Page Subtitle"/>
    <w:basedOn w:val="BrownePageTitle"/>
    <w:uiPriority w:val="5"/>
    <w:qFormat/>
    <w:rsid w:val="00F10035"/>
    <w:pPr>
      <w:outlineLvl w:val="9"/>
    </w:pPr>
    <w:rPr>
      <w:rFonts w:ascii="Arial" w:hAnsi="Arial"/>
      <w:color w:val="auto"/>
    </w:rPr>
  </w:style>
  <w:style w:type="paragraph" w:styleId="BrownePartHeading" w:customStyle="1">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styleId="PartHeadings" w:customStyle="1">
    <w:name w:val="Part Headings"/>
    <w:uiPriority w:val="99"/>
    <w:rsid w:val="007C5252"/>
    <w:pPr>
      <w:numPr>
        <w:numId w:val="18"/>
      </w:numPr>
    </w:pPr>
  </w:style>
  <w:style w:type="paragraph" w:styleId="BrowneParties" w:customStyle="1">
    <w:name w:val="Browne_Parties"/>
    <w:uiPriority w:val="5"/>
    <w:qFormat/>
    <w:rsid w:val="006879F9"/>
    <w:pPr>
      <w:numPr>
        <w:numId w:val="20"/>
      </w:numPr>
      <w:spacing w:after="180" w:line="300" w:lineRule="auto"/>
      <w:jc w:val="both"/>
    </w:pPr>
    <w:rPr>
      <w:rFonts w:ascii="Arial" w:hAnsi="Arial" w:cs="Arial"/>
      <w:sz w:val="21"/>
    </w:rPr>
  </w:style>
  <w:style w:type="paragraph" w:styleId="BrowneSchedule1" w:customStyle="1">
    <w:name w:val="Browne_Schedule 1"/>
    <w:uiPriority w:val="5"/>
    <w:qFormat/>
    <w:rsid w:val="00F173A7"/>
    <w:pPr>
      <w:numPr>
        <w:ilvl w:val="1"/>
        <w:numId w:val="21"/>
      </w:numPr>
      <w:spacing w:after="180" w:line="300" w:lineRule="auto"/>
      <w:jc w:val="both"/>
    </w:pPr>
    <w:rPr>
      <w:rFonts w:ascii="Arial" w:hAnsi="Arial" w:cs="Arial"/>
      <w:color w:val="000000" w:themeColor="text1"/>
      <w:sz w:val="21"/>
    </w:rPr>
  </w:style>
  <w:style w:type="paragraph" w:styleId="BrowneScheduleHeading" w:customStyle="1">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styleId="BrowneSchedule2" w:customStyle="1">
    <w:name w:val="Browne_Schedule 2"/>
    <w:uiPriority w:val="5"/>
    <w:qFormat/>
    <w:rsid w:val="00F173A7"/>
    <w:pPr>
      <w:numPr>
        <w:ilvl w:val="2"/>
        <w:numId w:val="21"/>
      </w:numPr>
      <w:spacing w:after="180" w:line="300" w:lineRule="auto"/>
      <w:jc w:val="both"/>
    </w:pPr>
    <w:rPr>
      <w:rFonts w:ascii="Arial" w:hAnsi="Arial" w:cs="Arial"/>
      <w:sz w:val="21"/>
    </w:rPr>
  </w:style>
  <w:style w:type="paragraph" w:styleId="BrowneSchedule3" w:customStyle="1">
    <w:name w:val="Browne_Schedule 3"/>
    <w:uiPriority w:val="5"/>
    <w:qFormat/>
    <w:rsid w:val="00F173A7"/>
    <w:pPr>
      <w:numPr>
        <w:ilvl w:val="3"/>
        <w:numId w:val="21"/>
      </w:numPr>
      <w:spacing w:after="180" w:line="300" w:lineRule="auto"/>
      <w:jc w:val="both"/>
    </w:pPr>
    <w:rPr>
      <w:rFonts w:ascii="Arial" w:hAnsi="Arial" w:cs="Arial"/>
      <w:sz w:val="21"/>
    </w:rPr>
  </w:style>
  <w:style w:type="paragraph" w:styleId="BrowneSchedule4" w:customStyle="1">
    <w:name w:val="Browne_Schedule 4"/>
    <w:uiPriority w:val="5"/>
    <w:qFormat/>
    <w:rsid w:val="00F173A7"/>
    <w:pPr>
      <w:numPr>
        <w:ilvl w:val="4"/>
        <w:numId w:val="21"/>
      </w:numPr>
      <w:spacing w:after="180" w:line="300" w:lineRule="auto"/>
      <w:jc w:val="both"/>
    </w:pPr>
    <w:rPr>
      <w:rFonts w:ascii="Arial" w:hAnsi="Arial" w:cs="Arial"/>
      <w:sz w:val="21"/>
    </w:rPr>
  </w:style>
  <w:style w:type="paragraph" w:styleId="BrowneSchedule5" w:customStyle="1">
    <w:name w:val="Browne_Schedule 5"/>
    <w:uiPriority w:val="5"/>
    <w:qFormat/>
    <w:rsid w:val="00F173A7"/>
    <w:pPr>
      <w:numPr>
        <w:ilvl w:val="5"/>
        <w:numId w:val="21"/>
      </w:numPr>
      <w:spacing w:after="180" w:line="300" w:lineRule="auto"/>
      <w:jc w:val="both"/>
    </w:pPr>
    <w:rPr>
      <w:rFonts w:ascii="Arial" w:hAnsi="Arial" w:cs="Arial"/>
      <w:sz w:val="21"/>
    </w:rPr>
  </w:style>
  <w:style w:type="numbering" w:styleId="BrowneSchedules" w:customStyle="1">
    <w:name w:val="Browne_Schedules"/>
    <w:uiPriority w:val="99"/>
    <w:rsid w:val="00BE3290"/>
    <w:pPr>
      <w:numPr>
        <w:numId w:val="22"/>
      </w:numPr>
    </w:pPr>
  </w:style>
  <w:style w:type="paragraph" w:styleId="BrowneStandaloneTitle" w:customStyle="1">
    <w:name w:val="Browne_Standalone Title"/>
    <w:basedOn w:val="BrowneChapterTitle"/>
    <w:next w:val="BrowneBodyText"/>
    <w:uiPriority w:val="5"/>
    <w:qFormat/>
    <w:rsid w:val="00A12E6C"/>
    <w:pPr>
      <w:spacing w:after="1360"/>
    </w:pPr>
  </w:style>
  <w:style w:type="paragraph" w:styleId="BrowneTOCHeading" w:customStyle="1">
    <w:name w:val="Browne_TOC Heading"/>
    <w:uiPriority w:val="5"/>
    <w:semiHidden/>
    <w:qFormat/>
    <w:rsid w:val="003E0C1F"/>
    <w:pPr>
      <w:spacing w:after="120" w:line="220" w:lineRule="exact"/>
    </w:pPr>
    <w:rPr>
      <w:rFonts w:ascii="Arial" w:hAnsi="Arial" w:cs="Arial"/>
      <w:b/>
      <w:color w:val="000000" w:themeColor="text1"/>
      <w:sz w:val="21"/>
    </w:rPr>
  </w:style>
  <w:style w:type="numbering" w:styleId="BrowneTable" w:customStyle="1">
    <w:name w:val="Browne_Table"/>
    <w:uiPriority w:val="99"/>
    <w:rsid w:val="001849BE"/>
    <w:pPr>
      <w:numPr>
        <w:numId w:val="23"/>
      </w:numPr>
    </w:pPr>
  </w:style>
  <w:style w:type="paragraph" w:styleId="BrowneTablenumber1" w:customStyle="1">
    <w:name w:val="Browne_Table number 1"/>
    <w:uiPriority w:val="5"/>
    <w:qFormat/>
    <w:rsid w:val="001849BE"/>
    <w:pPr>
      <w:numPr>
        <w:numId w:val="24"/>
      </w:numPr>
      <w:spacing w:before="120" w:after="120"/>
    </w:pPr>
    <w:rPr>
      <w:rFonts w:ascii="Arial" w:hAnsi="Arial" w:cs="Arial"/>
      <w:sz w:val="21"/>
    </w:rPr>
  </w:style>
  <w:style w:type="paragraph" w:styleId="Brownetablenumber2" w:customStyle="1">
    <w:name w:val="Browne_table number 2"/>
    <w:uiPriority w:val="5"/>
    <w:qFormat/>
    <w:rsid w:val="001849BE"/>
    <w:pPr>
      <w:numPr>
        <w:ilvl w:val="1"/>
        <w:numId w:val="24"/>
      </w:numPr>
      <w:spacing w:before="120" w:after="120" w:line="300" w:lineRule="auto"/>
    </w:pPr>
    <w:rPr>
      <w:rFonts w:ascii="Arial" w:hAnsi="Arial" w:cs="Arial"/>
      <w:sz w:val="21"/>
    </w:rPr>
  </w:style>
  <w:style w:type="paragraph" w:styleId="Brownetablenumber3" w:customStyle="1">
    <w:name w:val="Browne_table number 3"/>
    <w:uiPriority w:val="5"/>
    <w:qFormat/>
    <w:rsid w:val="00A553C9"/>
    <w:pPr>
      <w:numPr>
        <w:ilvl w:val="2"/>
        <w:numId w:val="24"/>
      </w:numPr>
      <w:spacing w:before="120" w:after="120" w:line="300" w:lineRule="auto"/>
    </w:pPr>
    <w:rPr>
      <w:rFonts w:ascii="Arial" w:hAnsi="Arial" w:cs="Arial"/>
      <w:sz w:val="21"/>
    </w:rPr>
  </w:style>
  <w:style w:type="paragraph" w:styleId="BrowneTableBullet" w:customStyle="1">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styleId="BrowneTableBullets" w:customStyle="1">
    <w:name w:val="Browne_Table Bullets"/>
    <w:uiPriority w:val="99"/>
    <w:rsid w:val="00461922"/>
    <w:pPr>
      <w:numPr>
        <w:numId w:val="26"/>
      </w:numPr>
    </w:pPr>
  </w:style>
  <w:style w:type="paragraph" w:styleId="BrowneTableHeading" w:customStyle="1">
    <w:name w:val="Browne_Table Heading"/>
    <w:uiPriority w:val="5"/>
    <w:qFormat/>
    <w:rsid w:val="003D4E88"/>
    <w:pPr>
      <w:spacing w:before="120" w:after="120" w:line="300" w:lineRule="auto"/>
    </w:pPr>
    <w:rPr>
      <w:rFonts w:ascii="Arial" w:hAnsi="Arial" w:cs="Arial"/>
      <w:b/>
      <w:color w:val="000000" w:themeColor="text1"/>
      <w:sz w:val="21"/>
    </w:rPr>
  </w:style>
  <w:style w:type="paragraph" w:styleId="BrowneTableText" w:customStyle="1">
    <w:name w:val="Browne_Table Text"/>
    <w:uiPriority w:val="5"/>
    <w:qFormat/>
    <w:rsid w:val="00B4042D"/>
    <w:pPr>
      <w:spacing w:before="120" w:after="120" w:line="300" w:lineRule="auto"/>
    </w:pPr>
    <w:rPr>
      <w:rFonts w:ascii="Arial" w:hAnsi="Arial" w:cs="Arial"/>
      <w:color w:val="000000" w:themeColor="text1"/>
      <w:sz w:val="21"/>
    </w:rPr>
  </w:style>
  <w:style w:type="paragraph" w:styleId="Browneheadingnumber1" w:customStyle="1">
    <w:name w:val="Browne_heading number 1"/>
    <w:basedOn w:val="BrowneClauseLevel1"/>
    <w:uiPriority w:val="5"/>
    <w:qFormat/>
    <w:rsid w:val="00A553C9"/>
    <w:pPr>
      <w:numPr>
        <w:numId w:val="27"/>
      </w:numPr>
      <w:jc w:val="left"/>
    </w:pPr>
    <w:rPr>
      <w:b/>
      <w:color w:val="4B0A28" w:themeColor="accent1"/>
    </w:rPr>
  </w:style>
  <w:style w:type="paragraph" w:styleId="Browneheadingnumber2" w:customStyle="1">
    <w:name w:val="Browne_heading number 2"/>
    <w:basedOn w:val="BrowneClauseLevel2"/>
    <w:uiPriority w:val="5"/>
    <w:qFormat/>
    <w:rsid w:val="00056D65"/>
    <w:pPr>
      <w:numPr>
        <w:numId w:val="27"/>
      </w:numPr>
      <w:jc w:val="left"/>
    </w:pPr>
  </w:style>
  <w:style w:type="paragraph" w:styleId="Browneheadingnumber3" w:customStyle="1">
    <w:name w:val="Browne_heading number 3"/>
    <w:basedOn w:val="BrowneClauseLevel3"/>
    <w:uiPriority w:val="5"/>
    <w:qFormat/>
    <w:rsid w:val="00056D65"/>
    <w:pPr>
      <w:numPr>
        <w:numId w:val="27"/>
      </w:numPr>
      <w:jc w:val="left"/>
    </w:pPr>
  </w:style>
  <w:style w:type="numbering" w:styleId="Browneheadingnumber" w:customStyle="1">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0C3395"/>
    <w:pPr>
      <w:spacing w:after="0" w:line="240" w:lineRule="auto"/>
    </w:pPr>
    <w:rPr>
      <w:rFonts w:ascii="Arial" w:hAnsi="Arial"/>
    </w:rPr>
  </w:style>
  <w:style w:type="paragraph" w:styleId="8DONTsbullet" w:customStyle="1">
    <w:name w:val="8 DON'Ts bullet"/>
    <w:basedOn w:val="Normal"/>
    <w:rsid w:val="00BD3CEE"/>
    <w:pPr>
      <w:numPr>
        <w:numId w:val="40"/>
      </w:numPr>
      <w:suppressAutoHyphens/>
      <w:spacing w:after="120" w:line="240" w:lineRule="auto"/>
      <w:ind w:right="284"/>
      <w:jc w:val="left"/>
    </w:pPr>
    <w:rPr>
      <w:rFonts w:eastAsia="MS Mincho" w:cs="Arial"/>
      <w:b/>
      <w:sz w:val="24"/>
      <w:szCs w:val="20"/>
    </w:rPr>
  </w:style>
  <w:style w:type="paragraph" w:styleId="3Policytitle" w:customStyle="1">
    <w:name w:val="3 Policy title"/>
    <w:basedOn w:val="Normal"/>
    <w:qFormat/>
    <w:rsid w:val="00BD3CEE"/>
    <w:pPr>
      <w:spacing w:after="120" w:line="240" w:lineRule="auto"/>
      <w:jc w:val="left"/>
    </w:pPr>
    <w:rPr>
      <w:rFonts w:eastAsia="MS Mincho" w:cs="Times New Roman"/>
      <w:b/>
      <w:sz w:val="72"/>
      <w:szCs w:val="24"/>
    </w:rPr>
  </w:style>
  <w:style w:type="character" w:styleId="UnresolvedMention">
    <w:name w:val="Unresolved Mention"/>
    <w:basedOn w:val="DefaultParagraphFont"/>
    <w:uiPriority w:val="99"/>
    <w:semiHidden/>
    <w:rsid w:val="00EE4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www.surreylocaloffer.org.uk/parents-and-carers/education-and-training/education-health-and-care-plans/mediation-and-disagreement-resolution"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hyperlink" Target="https://sendadvicesurrey.org.uk"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rreylocaloffer.org.uk" TargetMode="External" Id="rId14" /><Relationship Type="http://schemas.openxmlformats.org/officeDocument/2006/relationships/theme" Target="theme/theme1.xml" Id="rId27" /><Relationship Type="http://schemas.openxmlformats.org/officeDocument/2006/relationships/hyperlink" Target="https://www.gov.uk/courts-tribunals/first-tier-tribunal-special-educational-needs-and-disability" TargetMode="External" Id="Rf66c8201aae64f2b" /><Relationship Type="http://schemas.openxmlformats.org/officeDocument/2006/relationships/hyperlink" Target="https://www.gov.uk/courts-tribunals/first-tier-tribunal-special-educational-needs-and-disability" TargetMode="External" Id="R78887c353afb4c00" /><Relationship Type="http://schemas.openxmlformats.org/officeDocument/2006/relationships/header" Target="header4.xml" Id="R86d1cf9007a848b5" /><Relationship Type="http://schemas.openxmlformats.org/officeDocument/2006/relationships/footer" Target="footer3.xml" Id="Rc8f424a945b44672" /><Relationship Type="http://schemas.openxmlformats.org/officeDocument/2006/relationships/footer" Target="footer4.xml" Id="Rf75b4ba6dde34677" /><Relationship Type="http://schemas.openxmlformats.org/officeDocument/2006/relationships/header" Target="header5.xml" Id="R501368393c884ebc" /><Relationship Type="http://schemas.openxmlformats.org/officeDocument/2006/relationships/footer" Target="footer5.xml" Id="Rc163c2cf442245f8" /></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LEGAL!82222102.1</documentid>
  <senderid>LEONAH</senderid>
  <senderemail>LEONA.HALL@BROWNEJACOBSON.COM</senderemail>
  <lastmodified>2026-07-09T13:21:00.0000000+01:00</lastmodified>
  <database>LEGAL</database>
</properti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3a261aa-8b1c-467b-942a-7e2c67a5477b" xsi:nil="true"/>
    <Nadja xmlns="83a261aa-8b1c-467b-942a-7e2c67a5477b">
      <UserInfo>
        <DisplayName/>
        <AccountId xsi:nil="true"/>
        <AccountType/>
      </UserInfo>
    </Nadja>
    <MigrationWizIdPermissions xmlns="83a261aa-8b1c-467b-942a-7e2c67a5477b" xsi:nil="true"/>
    <MigrationWizId xmlns="83a261aa-8b1c-467b-942a-7e2c67a5477b" xsi:nil="true"/>
    <lcf76f155ced4ddcb4097134ff3c332f xmlns="83a261aa-8b1c-467b-942a-7e2c67a5477b">
      <Terms xmlns="http://schemas.microsoft.com/office/infopath/2007/PartnerControls"/>
    </lcf76f155ced4ddcb4097134ff3c332f>
    <MigrationWizIdVersion xmlns="83a261aa-8b1c-467b-942a-7e2c67a5477b" xsi:nil="true"/>
    <Activity xmlns="83a261aa-8b1c-467b-942a-7e2c67a5477b" xsi:nil="true"/>
    <TaxCatchAll xmlns="3c08e8c0-de80-432b-8eca-dbb696f7e1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810C0ACAF4E14192B399713D4B8733" ma:contentTypeVersion="24" ma:contentTypeDescription="Create a new document." ma:contentTypeScope="" ma:versionID="b6d133e395baee496a203fdc49022e83">
  <xsd:schema xmlns:xsd="http://www.w3.org/2001/XMLSchema" xmlns:xs="http://www.w3.org/2001/XMLSchema" xmlns:p="http://schemas.microsoft.com/office/2006/metadata/properties" xmlns:ns2="83a261aa-8b1c-467b-942a-7e2c67a5477b" xmlns:ns3="3c08e8c0-de80-432b-8eca-dbb696f7e1ca" targetNamespace="http://schemas.microsoft.com/office/2006/metadata/properties" ma:root="true" ma:fieldsID="438ebf162187c4bb218289baf0149e7f" ns2:_="" ns3:_="">
    <xsd:import namespace="83a261aa-8b1c-467b-942a-7e2c67a5477b"/>
    <xsd:import namespace="3c08e8c0-de80-432b-8eca-dbb696f7e1ca"/>
    <xsd:element name="properties">
      <xsd:complexType>
        <xsd:sequence>
          <xsd:element name="documentManagement">
            <xsd:complexType>
              <xsd:all>
                <xsd:element ref="ns2:MigrationWizId" minOccurs="0"/>
                <xsd:element ref="ns2:MigrationWizIdPermissions" minOccurs="0"/>
                <xsd:element ref="ns2:MigrationWizIdVersion" minOccurs="0"/>
                <xsd:element ref="ns2:Activity"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2:Nad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261aa-8b1c-467b-942a-7e2c67a5477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Activity" ma:index="11" nillable="true" ma:displayName="Activity" ma:internalName="Activity" ma:readOnly="false" ma:percentage="FALS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d2256d-78ce-405a-a19d-fb6f6e7c2a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Flow_SignoffStatus" ma:index="29" nillable="true" ma:displayName="Sign-off status" ma:internalName="Sign_x002d_off_x0020_status">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Nadja" ma:index="31" nillable="true" ma:displayName="Nadja" ma:format="Dropdown" ma:list="UserInfo" ma:SharePointGroup="0" ma:internalName="Nad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08e8c0-de80-432b-8eca-dbb696f7e1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4b4b97-ccbd-4c5e-8967-72a8f89e9670}" ma:internalName="TaxCatchAll" ma:showField="CatchAllData" ma:web="3c08e8c0-de80-432b-8eca-dbb696f7e1ca">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1417BE-5DB2-40C8-A66B-BBBA588E5492}">
  <ds:schemaRefs>
    <ds:schemaRef ds:uri="http://schemas.microsoft.com/sharepoint/v3/contenttype/forms"/>
  </ds:schemaRefs>
</ds:datastoreItem>
</file>

<file path=customXml/itemProps2.xml><?xml version="1.0" encoding="utf-8"?>
<ds:datastoreItem xmlns:ds="http://schemas.openxmlformats.org/officeDocument/2006/customXml" ds:itemID="{1760BFE4-52C9-4809-BF10-3D597395A356}">
  <ds:schemaRefs>
    <ds:schemaRef ds:uri="http://www.imanage.com/work/xmlschema"/>
  </ds:schemaRefs>
</ds:datastoreItem>
</file>

<file path=customXml/itemProps3.xml><?xml version="1.0" encoding="utf-8"?>
<ds:datastoreItem xmlns:ds="http://schemas.openxmlformats.org/officeDocument/2006/customXml" ds:itemID="{EC3B63C4-AA38-4651-AF61-EA40AE4DD5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4B247A-FADA-46E9-9964-3D0CA41D8F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Blank</ap:Template>
  <ap:Application>Microsoft Word for the web</ap:Application>
  <ap:DocSecurity>0</ap:DocSecurity>
  <ap:ScaleCrop>false</ap:ScaleCrop>
  <ap:Company>Browne Jacobson LLP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RICHARDF</dc:creator>
  <lastModifiedBy>Louise Athersuch</lastModifiedBy>
  <revision>6</revision>
  <dcterms:created xsi:type="dcterms:W3CDTF">2026-09-10T20:12:00.0000000Z</dcterms:created>
  <dcterms:modified xsi:type="dcterms:W3CDTF">2026-09-22T22:52:48.5794664Z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L:40262687v1</vt:lpwstr>
  </property>
  <property fmtid="{D5CDD505-2E9C-101B-9397-08002B2CF9AE}" pid="3" name="CUS_DocIDActiveBits">
    <vt:lpwstr>100352</vt:lpwstr>
  </property>
  <property fmtid="{D5CDD505-2E9C-101B-9397-08002B2CF9AE}" pid="4" name="CUS_DocIDChunk0">
    <vt:lpwstr>LEGAL\74028795.v1</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LEGAL\74028795.v1</vt:lpwstr>
  </property>
  <property fmtid="{D5CDD505-2E9C-101B-9397-08002B2CF9AE}" pid="8" name="iManageFooter">
    <vt:lpwstr>82222102v1</vt:lpwstr>
  </property>
  <property fmtid="{D5CDD505-2E9C-101B-9397-08002B2CF9AE}" pid="9" name="ContentTypeId">
    <vt:lpwstr>0x0101000D810C0ACAF4E14192B399713D4B8733</vt:lpwstr>
  </property>
  <property fmtid="{D5CDD505-2E9C-101B-9397-08002B2CF9AE}" pid="10" name="MediaServiceImageTags">
    <vt:lpwstr/>
  </property>
</Properties>
</file>